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0AB2" w14:textId="5E237191" w:rsidR="00D87C9E" w:rsidRDefault="00BE3877" w:rsidP="00BE3877">
      <w:pPr>
        <w:jc w:val="center"/>
        <w:rPr>
          <w:b/>
          <w:bCs/>
          <w:u w:val="single"/>
        </w:rPr>
      </w:pPr>
      <w:r w:rsidRPr="00BE3877">
        <w:rPr>
          <w:b/>
          <w:bCs/>
          <w:u w:val="single"/>
        </w:rPr>
        <w:t>References Test</w:t>
      </w:r>
    </w:p>
    <w:p w14:paraId="1E01835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Moore GF, Littlecott HJ, Fletcher A, Hewitt G and Murphy S. Variations in schools’ commitment to health and implementation of health improvement activities: a cross-sectional study of secondary schools in Wales. BMC Public Health 2016; 16:138</w:t>
      </w:r>
      <w:r w:rsidRPr="00BE3877">
        <w:br/>
        <w:t xml:space="preserve">School Health Research Network Research Brief: </w:t>
      </w:r>
      <w:r w:rsidRPr="00BE3877">
        <w:br/>
      </w:r>
      <w:hyperlink r:id="rId5" w:history="1">
        <w:r w:rsidRPr="00BE3877">
          <w:rPr>
            <w:rStyle w:val="Hyperlink"/>
          </w:rPr>
          <w:t>http://www.shrn.org.uk/wp-content/uploads/2016/09/Moore_Schl-commitment_final.pdf</w:t>
        </w:r>
      </w:hyperlink>
    </w:p>
    <w:p w14:paraId="3B192AC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Moore GF, Littlecott HJ, Evans R, Murphy S, Hewitt G and Fletcher A. School composition, school culture and socioeconomic inequalities in young people’s health: Multi-level analysis of the Health Behaviour in School-aged Children (HBSC) survey in Wales. British Education Research Journal 2017; 43(2): 310-329</w:t>
      </w:r>
      <w:r w:rsidRPr="00BE3877">
        <w:br/>
        <w:t>School Health Research Network Research Brief:</w:t>
      </w:r>
      <w:r w:rsidRPr="00BE3877">
        <w:br/>
      </w:r>
      <w:hyperlink r:id="rId6" w:history="1">
        <w:r w:rsidRPr="00BE3877">
          <w:rPr>
            <w:rStyle w:val="Hyperlink"/>
          </w:rPr>
          <w:t>http://www.shrn.org.uk/wp-content/uploads/2016/09/Moore_Schl-comp-and-cult_English.pdf</w:t>
        </w:r>
      </w:hyperlink>
    </w:p>
    <w:p w14:paraId="4F89E8C8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Curriculum for Wales 2022</w:t>
      </w:r>
      <w:r w:rsidRPr="00BE3877">
        <w:br/>
      </w:r>
      <w:hyperlink r:id="rId7" w:history="1">
        <w:r w:rsidRPr="00BE3877">
          <w:rPr>
            <w:rStyle w:val="Hyperlink"/>
          </w:rPr>
          <w:t>https://gov.wales/curriculum-wales-2022</w:t>
        </w:r>
      </w:hyperlink>
    </w:p>
    <w:p w14:paraId="78B4231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Schools as Learning Organisations</w:t>
      </w:r>
      <w:r w:rsidRPr="00BE3877">
        <w:br/>
      </w:r>
      <w:hyperlink r:id="rId8" w:history="1">
        <w:r w:rsidRPr="00BE3877">
          <w:rPr>
            <w:rStyle w:val="Hyperlink"/>
          </w:rPr>
          <w:t>https://hwb.gov.wales/professional-development/schools-as-learning-organisations/</w:t>
        </w:r>
      </w:hyperlink>
    </w:p>
    <w:p w14:paraId="31B3DCF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Estyn. Inspecting self-evaluation: a new approach </w:t>
      </w:r>
      <w:r w:rsidRPr="00BE3877">
        <w:br/>
      </w:r>
      <w:hyperlink r:id="rId9" w:history="1">
        <w:r w:rsidRPr="00BE3877">
          <w:rPr>
            <w:rStyle w:val="Hyperlink"/>
          </w:rPr>
          <w:t>https://www.estyn.gov.wales/inspection/school-self-evaluation-improvement-project/inspecting-self-evaluation-new-approach</w:t>
        </w:r>
      </w:hyperlink>
    </w:p>
    <w:p w14:paraId="5C2FAF17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Estyn. Healthy and happy: school impact on pupils’ health and wellbeing. (2019) Cardiff: Estyn</w:t>
      </w:r>
      <w:r w:rsidRPr="00BE3877">
        <w:br/>
      </w:r>
      <w:hyperlink r:id="rId10" w:history="1">
        <w:r w:rsidRPr="00BE3877">
          <w:rPr>
            <w:rStyle w:val="Hyperlink"/>
          </w:rPr>
          <w:t>https://www.estyn.gov.wales/thematic-reports/healthy-and-happy</w:t>
        </w:r>
      </w:hyperlink>
    </w:p>
    <w:p w14:paraId="2C5CDF45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Public Health Wales. Welsh Network of Healthy School Schemes. </w:t>
      </w:r>
      <w:hyperlink r:id="rId11" w:history="1">
        <w:r w:rsidRPr="00BE3877">
          <w:rPr>
            <w:rStyle w:val="Hyperlink"/>
          </w:rPr>
          <w:t>http://www.wales.nhs.uk/sitesplus/888/page/82249#introduction</w:t>
        </w:r>
      </w:hyperlink>
    </w:p>
    <w:p w14:paraId="01EE32B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The United Nations Convention on the Rights of the Child (UNCRC) </w:t>
      </w:r>
      <w:hyperlink r:id="rId12" w:history="1">
        <w:r w:rsidRPr="00BE3877">
          <w:rPr>
            <w:rStyle w:val="Hyperlink"/>
          </w:rPr>
          <w:t>http://www.unicef.org/crc/</w:t>
        </w:r>
      </w:hyperlink>
      <w:r w:rsidRPr="00BE3877">
        <w:rPr>
          <w:u w:val="single"/>
        </w:rPr>
        <w:br/>
      </w:r>
      <w:r w:rsidRPr="00BE3877">
        <w:t xml:space="preserve">For a young people friendly version:  </w:t>
      </w:r>
      <w:r w:rsidRPr="00BE3877">
        <w:br/>
      </w:r>
      <w:r w:rsidRPr="00BE3877">
        <w:rPr>
          <w:u w:val="single"/>
        </w:rPr>
        <w:t>https://www.childcomwales.org.uk/wp-content/uploads/2019/09/Childrens-Rights-Poster-September-2019pdf.pdf</w:t>
      </w:r>
    </w:p>
    <w:p w14:paraId="2A1C1F0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Welsh Baccalaureate (WBQ) </w:t>
      </w:r>
      <w:hyperlink r:id="rId13" w:history="1">
        <w:r w:rsidRPr="00BE3877">
          <w:rPr>
            <w:rStyle w:val="Hyperlink"/>
          </w:rPr>
          <w:t>https://gov.wales/welsh-baccalaureate</w:t>
        </w:r>
      </w:hyperlink>
    </w:p>
    <w:p w14:paraId="13DEF7C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Well-being of Future Generations (Wales) Act 2015</w:t>
      </w:r>
      <w:r w:rsidRPr="00BE3877">
        <w:br/>
      </w:r>
      <w:hyperlink r:id="rId14" w:history="1">
        <w:r w:rsidRPr="00BE3877">
          <w:rPr>
            <w:rStyle w:val="Hyperlink"/>
          </w:rPr>
          <w:t>https://futuregenerations.wales/about-us/future-generations-act/</w:t>
        </w:r>
      </w:hyperlink>
    </w:p>
    <w:p w14:paraId="6BD492E3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Lobstein</w:t>
      </w:r>
      <w:proofErr w:type="spellEnd"/>
      <w:r w:rsidRPr="00BE3877">
        <w:t>, T. and Jackson, R. International Comparisons of Obesity Trends, Determinants and Responses: Evidence Review (2007) London: UK Government Office for Science.</w:t>
      </w:r>
    </w:p>
    <w:p w14:paraId="5514097F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Griffiths LJ, Parsons </w:t>
      </w:r>
      <w:proofErr w:type="gramStart"/>
      <w:r w:rsidRPr="00BE3877">
        <w:t>TJ</w:t>
      </w:r>
      <w:proofErr w:type="gramEnd"/>
      <w:r w:rsidRPr="00BE3877">
        <w:t xml:space="preserve"> and Hill AJ. Self-esteem and quality of life in obese children and adolescents: a systematic review. International Journal of </w:t>
      </w:r>
      <w:proofErr w:type="spellStart"/>
      <w:r w:rsidRPr="00BE3877">
        <w:t>Pediatric</w:t>
      </w:r>
      <w:proofErr w:type="spellEnd"/>
      <w:r w:rsidRPr="00BE3877">
        <w:t xml:space="preserve"> Obesity 2010; 5(4): 282-304</w:t>
      </w:r>
    </w:p>
    <w:p w14:paraId="7CBD30D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Craigie AM, Lake AA, Kelly SA, Adamson </w:t>
      </w:r>
      <w:proofErr w:type="gramStart"/>
      <w:r w:rsidRPr="00BE3877">
        <w:t>AJ</w:t>
      </w:r>
      <w:proofErr w:type="gramEnd"/>
      <w:r w:rsidRPr="00BE3877">
        <w:t xml:space="preserve"> and Mathers JC. Tracking of obesity-related behaviours from childhood to adulthood: a systematic review. </w:t>
      </w:r>
      <w:proofErr w:type="spellStart"/>
      <w:r w:rsidRPr="00BE3877">
        <w:t>Maturitas</w:t>
      </w:r>
      <w:proofErr w:type="spellEnd"/>
      <w:r w:rsidRPr="00BE3877">
        <w:t xml:space="preserve"> 2011; 70(3): 266-284</w:t>
      </w:r>
    </w:p>
    <w:p w14:paraId="0108856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lastRenderedPageBreak/>
        <w:t xml:space="preserve">Lake AA, Mathers JC, Rugg-Gunn </w:t>
      </w:r>
      <w:proofErr w:type="gramStart"/>
      <w:r w:rsidRPr="00BE3877">
        <w:t>AJ</w:t>
      </w:r>
      <w:proofErr w:type="gramEnd"/>
      <w:r w:rsidRPr="00BE3877">
        <w:t xml:space="preserve"> and Adamson AJ. Longitudinal change in food habits between adolescence (11-12 years) and adulthood (32-33 years): the ASH30 Study. Journal of Public Health 2006; 28(1):10-16</w:t>
      </w:r>
    </w:p>
    <w:p w14:paraId="3EF352E1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Merten</w:t>
      </w:r>
      <w:proofErr w:type="spellEnd"/>
      <w:r w:rsidRPr="00BE3877">
        <w:t xml:space="preserve"> MJ, Williams AL and Shriver LH. Breakfast consumption in adolescence and young adulthood: parental presence, community context, and obesity. Journal of the American Dietetic Association 2009; 109(8): 1384-1391</w:t>
      </w:r>
    </w:p>
    <w:p w14:paraId="17BF68F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Townsend N, Murphy S and Moore L. The more schools do to promote healthy eating, the healthier the dietary choices by students. Journal of Epidemiology and Community Health 2011; 65(10): 889-895</w:t>
      </w:r>
    </w:p>
    <w:p w14:paraId="252BA2C1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Townsend N. Shorter lunch breaks lead secondary-school students to make less healthy dietary choices: multilevel analysis of cross-sectional national survey data. Public Health Nutrition 2015; 18(9): 1626-1634</w:t>
      </w:r>
    </w:p>
    <w:p w14:paraId="160F8EB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Hewitt G, Anthony R, Moore G, Melendez-Torres G.J., Murphy S. Student Health and Wellbeing </w:t>
      </w:r>
      <w:proofErr w:type="gramStart"/>
      <w:r w:rsidRPr="00BE3877">
        <w:t>In</w:t>
      </w:r>
      <w:proofErr w:type="gramEnd"/>
      <w:r w:rsidRPr="00BE3877">
        <w:t xml:space="preserve"> Wales: Report of the 2017/18 Health Behaviour in School-aged Children Survey and School Health Research Network Student Health and Wellbeing Survey. (2019) Cardiff University, Cardiff, UK </w:t>
      </w:r>
      <w:hyperlink r:id="rId15" w:history="1">
        <w:r w:rsidRPr="00BE3877">
          <w:rPr>
            <w:rStyle w:val="Hyperlink"/>
          </w:rPr>
          <w:t>http://www.shrn.org.uk/national-data/</w:t>
        </w:r>
      </w:hyperlink>
    </w:p>
    <w:p w14:paraId="6DE3030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The Healthy Eating in Schools (Nutritional Standards and Requirements) (Wales) Regulations 2013 </w:t>
      </w:r>
      <w:hyperlink r:id="rId16" w:history="1">
        <w:r w:rsidRPr="00BE3877">
          <w:rPr>
            <w:rStyle w:val="Hyperlink"/>
          </w:rPr>
          <w:t>http://www.legislation.gov.uk/wsi/2013/1984/made</w:t>
        </w:r>
      </w:hyperlink>
    </w:p>
    <w:p w14:paraId="38F9249A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Fayet</w:t>
      </w:r>
      <w:proofErr w:type="spellEnd"/>
      <w:r w:rsidRPr="00BE3877">
        <w:t xml:space="preserve">-Moore F, McConnell A, </w:t>
      </w:r>
      <w:proofErr w:type="spellStart"/>
      <w:r w:rsidRPr="00BE3877">
        <w:t>Cassettari</w:t>
      </w:r>
      <w:proofErr w:type="spellEnd"/>
      <w:r w:rsidRPr="00BE3877">
        <w:t xml:space="preserve"> T, Tuck K, </w:t>
      </w:r>
      <w:proofErr w:type="spellStart"/>
      <w:r w:rsidRPr="00BE3877">
        <w:t>Petocz</w:t>
      </w:r>
      <w:proofErr w:type="spellEnd"/>
      <w:r w:rsidRPr="00BE3877">
        <w:t xml:space="preserve"> P and Kim J. Vegetable intake in Australian children and adolescents: the importance of consumption frequency, eating occasion and its association with dietary and sociodemographic factors. Public Health Nutrition 2019; doi:10.1017/S136898001900209X</w:t>
      </w:r>
    </w:p>
    <w:p w14:paraId="48FDECCE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Gosliner</w:t>
      </w:r>
      <w:proofErr w:type="spellEnd"/>
      <w:r w:rsidRPr="00BE3877">
        <w:t xml:space="preserve"> W. School-level factors associated with increased fruit and vegetable consumption among students in California middle and high schools. Journal of School Health 2014; 84: 559-568</w:t>
      </w:r>
    </w:p>
    <w:p w14:paraId="507271E7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Masento</w:t>
      </w:r>
      <w:proofErr w:type="spellEnd"/>
      <w:r w:rsidRPr="00BE3877">
        <w:t xml:space="preserve"> AM, Golightly M, Field DT, Butler </w:t>
      </w:r>
      <w:proofErr w:type="gramStart"/>
      <w:r w:rsidRPr="00BE3877">
        <w:t>LT</w:t>
      </w:r>
      <w:proofErr w:type="gramEnd"/>
      <w:r w:rsidRPr="00BE3877">
        <w:t xml:space="preserve"> and van </w:t>
      </w:r>
      <w:proofErr w:type="spellStart"/>
      <w:r w:rsidRPr="00BE3877">
        <w:t>Reekum</w:t>
      </w:r>
      <w:proofErr w:type="spellEnd"/>
      <w:r w:rsidRPr="00BE3877">
        <w:t xml:space="preserve"> CM. Effects of hydration status on cognitive performance and mood. British Journal of Nutrition 2014; 111:1841-1852</w:t>
      </w:r>
    </w:p>
    <w:p w14:paraId="5188874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Welsh Government. Healthy eating in maintained schools. Statutory guidance for local authorities and governing bodies. (2014) </w:t>
      </w:r>
      <w:r w:rsidRPr="00BE3877">
        <w:br/>
      </w:r>
      <w:hyperlink r:id="rId17" w:history="1">
        <w:r w:rsidRPr="00BE3877">
          <w:rPr>
            <w:rStyle w:val="Hyperlink"/>
          </w:rPr>
          <w:t>https://gov.wales/healthy-eating-maintained-schools-guidance-education-providers</w:t>
        </w:r>
      </w:hyperlink>
    </w:p>
    <w:p w14:paraId="15317A0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Welsh Government. Eatwell Guide. (2018) </w:t>
      </w:r>
      <w:hyperlink r:id="rId18" w:history="1">
        <w:r w:rsidRPr="00BE3877">
          <w:rPr>
            <w:rStyle w:val="Hyperlink"/>
          </w:rPr>
          <w:t>https://gov.wales/eatwell-guide</w:t>
        </w:r>
      </w:hyperlink>
    </w:p>
    <w:p w14:paraId="26239119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Visram</w:t>
      </w:r>
      <w:proofErr w:type="spellEnd"/>
      <w:r w:rsidRPr="00BE3877">
        <w:t xml:space="preserve"> S, Cheetham M, </w:t>
      </w:r>
      <w:proofErr w:type="spellStart"/>
      <w:r w:rsidRPr="00BE3877">
        <w:t>Riby</w:t>
      </w:r>
      <w:proofErr w:type="spellEnd"/>
      <w:r w:rsidRPr="00BE3877">
        <w:t xml:space="preserve"> DM, Crossley SJ and Lake AA. Consumption of energy drinks by children and young people: a rapid review examining evidence of physical effects and consumer attitudes. BMJ Open 2016; 6: </w:t>
      </w:r>
      <w:proofErr w:type="spellStart"/>
      <w:r w:rsidRPr="00BE3877">
        <w:t>doi</w:t>
      </w:r>
      <w:proofErr w:type="spellEnd"/>
      <w:r w:rsidRPr="00BE3877">
        <w:t>: 10.1136/bmjopen-2015-010380</w:t>
      </w:r>
    </w:p>
    <w:p w14:paraId="3D824027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Visram</w:t>
      </w:r>
      <w:proofErr w:type="spellEnd"/>
      <w:r w:rsidRPr="00BE3877">
        <w:t xml:space="preserve"> S, Crossley SJ, Cheetham M and Lake A. Children and young people's perceptions of energy drinks: A qualitative study. </w:t>
      </w:r>
      <w:proofErr w:type="spellStart"/>
      <w:r w:rsidRPr="00BE3877">
        <w:t>PLoS</w:t>
      </w:r>
      <w:proofErr w:type="spellEnd"/>
      <w:r w:rsidRPr="00BE3877">
        <w:t xml:space="preserve"> ONE 2017; 12(11): </w:t>
      </w:r>
      <w:proofErr w:type="spellStart"/>
      <w:r w:rsidRPr="00BE3877">
        <w:t>doi</w:t>
      </w:r>
      <w:proofErr w:type="spellEnd"/>
      <w:r w:rsidRPr="00BE3877">
        <w:t>: 10.1371/journal.pone.0188668</w:t>
      </w:r>
    </w:p>
    <w:p w14:paraId="48E3EA5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Schwartz DL, </w:t>
      </w:r>
      <w:proofErr w:type="spellStart"/>
      <w:r w:rsidRPr="00BE3877">
        <w:t>Gilstad</w:t>
      </w:r>
      <w:proofErr w:type="spellEnd"/>
      <w:r w:rsidRPr="00BE3877">
        <w:t xml:space="preserve">-Hayden K, Carroll-Scott A, </w:t>
      </w:r>
      <w:proofErr w:type="spellStart"/>
      <w:r w:rsidRPr="00BE3877">
        <w:t>Grilo</w:t>
      </w:r>
      <w:proofErr w:type="spellEnd"/>
      <w:r w:rsidRPr="00BE3877">
        <w:t xml:space="preserve"> SA, McCaslin C, Schwartz M and </w:t>
      </w:r>
      <w:proofErr w:type="spellStart"/>
      <w:r w:rsidRPr="00BE3877">
        <w:t>Ickovic</w:t>
      </w:r>
      <w:proofErr w:type="spellEnd"/>
      <w:r w:rsidRPr="00BE3877">
        <w:t xml:space="preserve"> JR. Energy drinks and youth self-reported hyperactivity/inattention symptoms. Academic </w:t>
      </w:r>
      <w:proofErr w:type="spellStart"/>
      <w:r w:rsidRPr="00BE3877">
        <w:t>Pediatrics</w:t>
      </w:r>
      <w:proofErr w:type="spellEnd"/>
      <w:r w:rsidRPr="00BE3877">
        <w:t xml:space="preserve"> 2015; </w:t>
      </w:r>
      <w:proofErr w:type="spellStart"/>
      <w:r w:rsidRPr="00BE3877">
        <w:t>doi</w:t>
      </w:r>
      <w:proofErr w:type="spellEnd"/>
      <w:r w:rsidRPr="00BE3877">
        <w:t>: 10.1016/j.acap.2014.11.006</w:t>
      </w:r>
    </w:p>
    <w:p w14:paraId="6AA2D59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lastRenderedPageBreak/>
        <w:t>Healthy Eating in Schools (Wales) Measure 2009</w:t>
      </w:r>
      <w:r w:rsidRPr="00BE3877">
        <w:br/>
      </w:r>
      <w:hyperlink r:id="rId19" w:history="1">
        <w:r w:rsidRPr="00BE3877">
          <w:rPr>
            <w:rStyle w:val="Hyperlink"/>
          </w:rPr>
          <w:t>http://www.legislation.gov.uk/mwa/2009/3/contents</w:t>
        </w:r>
      </w:hyperlink>
    </w:p>
    <w:p w14:paraId="03E8D99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Estyn Supplementary Guidance: Healthy Living Autumn 2017         </w:t>
      </w:r>
      <w:hyperlink r:id="rId20" w:history="1">
        <w:r w:rsidRPr="00BE3877">
          <w:rPr>
            <w:rStyle w:val="Hyperlink"/>
          </w:rPr>
          <w:t>https://www.estyn.gov.wales/document/supplementary-guidance-healthy-living-0</w:t>
        </w:r>
      </w:hyperlink>
    </w:p>
    <w:p w14:paraId="16F090F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UK Chief Medical Officers’ Physical Activity Guidelines. (2019) </w:t>
      </w:r>
      <w:hyperlink r:id="rId21" w:history="1">
        <w:r w:rsidRPr="00BE3877">
          <w:rPr>
            <w:rStyle w:val="Hyperlink"/>
          </w:rPr>
          <w:t>https://assets.publishing.service.gov.uk/government/uploads/system/uploads/attachment_data/file/832868/uk-chief-medical-officers-physical-activity-guidelines.pdf</w:t>
        </w:r>
      </w:hyperlink>
    </w:p>
    <w:p w14:paraId="25F5E0B2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Biddle SJH, </w:t>
      </w:r>
      <w:proofErr w:type="spellStart"/>
      <w:r w:rsidRPr="00BE3877">
        <w:t>Ciaccioni</w:t>
      </w:r>
      <w:proofErr w:type="spellEnd"/>
      <w:r w:rsidRPr="00BE3877">
        <w:t xml:space="preserve"> S, Thomas G and Vergeer I. Physical activity and mental health in children and adolescents: An updated review of reviews and an analysis of causality. Psychology of Sport &amp; Exercise 2019; 42: doi.org/10.1016/j.psychsport.2018.08.011</w:t>
      </w:r>
    </w:p>
    <w:p w14:paraId="64B9D06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Booth JN, Leary SD, </w:t>
      </w:r>
      <w:proofErr w:type="spellStart"/>
      <w:r w:rsidRPr="00BE3877">
        <w:t>Joinson</w:t>
      </w:r>
      <w:proofErr w:type="spellEnd"/>
      <w:r w:rsidRPr="00BE3877">
        <w:t xml:space="preserve"> C, Ness AR, </w:t>
      </w:r>
      <w:proofErr w:type="spellStart"/>
      <w:r w:rsidRPr="00BE3877">
        <w:t>Tomporowski</w:t>
      </w:r>
      <w:proofErr w:type="spellEnd"/>
      <w:r w:rsidRPr="00BE3877">
        <w:t xml:space="preserve"> PD, Boyle JM and Reilly JJ. Associations between objectively measured physical activity and academic attainment in adolescents from a UK cohort. British Journal of Sports Medicine 2014; 48: 265-270</w:t>
      </w:r>
    </w:p>
    <w:p w14:paraId="477CBAB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Brooke HL, </w:t>
      </w:r>
      <w:proofErr w:type="spellStart"/>
      <w:r w:rsidRPr="00BE3877">
        <w:t>Corder</w:t>
      </w:r>
      <w:proofErr w:type="spellEnd"/>
      <w:r w:rsidRPr="00BE3877">
        <w:t xml:space="preserve"> K, Griffin SJ and van </w:t>
      </w:r>
      <w:proofErr w:type="spellStart"/>
      <w:r w:rsidRPr="00BE3877">
        <w:t>Sluijs</w:t>
      </w:r>
      <w:proofErr w:type="spellEnd"/>
      <w:r w:rsidRPr="00BE3877">
        <w:t xml:space="preserve"> EMF. Physical activity maintenance in the transition to adolescence: a longitudinal study of the roles of sport and lifestyle activities in British youth. PLOS One 2014; 9(2): </w:t>
      </w:r>
      <w:proofErr w:type="gramStart"/>
      <w:r w:rsidRPr="00BE3877">
        <w:t>doi:10.1371/journal.pone</w:t>
      </w:r>
      <w:proofErr w:type="gramEnd"/>
      <w:r w:rsidRPr="00BE3877">
        <w:t>.0089028</w:t>
      </w:r>
    </w:p>
    <w:p w14:paraId="1712BF6B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Public Health England. What Works in Schools and Colleges to Increase Physical Activity? (2019) </w:t>
      </w:r>
      <w:hyperlink r:id="rId22" w:history="1">
        <w:r w:rsidRPr="00BE3877">
          <w:rPr>
            <w:rStyle w:val="Hyperlink"/>
          </w:rPr>
          <w:t>https://assets.publishing.service.gov.uk/government/uploads/system/uploads/attachment_data/file/821463/What_works_in_schools_and_colleges_to_increase_physical_activity.pdf</w:t>
        </w:r>
      </w:hyperlink>
    </w:p>
    <w:p w14:paraId="4546184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National Institute for Health and Clinical Excellence. Promoting Physical Activity for Children and Young People. NICE Public Health Guidance 17 (2009) </w:t>
      </w:r>
      <w:hyperlink r:id="rId23" w:history="1">
        <w:r w:rsidRPr="00BE3877">
          <w:rPr>
            <w:rStyle w:val="Hyperlink"/>
          </w:rPr>
          <w:t>https://www.nice.org.uk/guidance/ph17</w:t>
        </w:r>
      </w:hyperlink>
    </w:p>
    <w:p w14:paraId="2D1F372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Roth, M.A., Millett, C.J. and Mindell, J.S. The contribution of active travel (walking and cycling) in children to overall physical activity levels: a national cross </w:t>
      </w:r>
      <w:proofErr w:type="gramStart"/>
      <w:r w:rsidRPr="00BE3877">
        <w:t>sectional  study</w:t>
      </w:r>
      <w:proofErr w:type="gramEnd"/>
      <w:r w:rsidRPr="00BE3877">
        <w:t>. Preventive Medicine 2012; 54: 134-139</w:t>
      </w:r>
    </w:p>
    <w:p w14:paraId="2193FD08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Falconer CL, Leary SD, Page A and Cooper AR. The tracking of active travel and its relationship with body composition in UK adolescents. Journal of Transport &amp; Health 2015; 2: doi.org/10.1016/j.jth.2015.09.005</w:t>
      </w:r>
    </w:p>
    <w:p w14:paraId="455EED47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Welsh Government. Healthy Weight: Healthy Wales. (2019) </w:t>
      </w:r>
      <w:hyperlink r:id="rId24" w:history="1">
        <w:r w:rsidRPr="00BE3877">
          <w:rPr>
            <w:rStyle w:val="Hyperlink"/>
          </w:rPr>
          <w:t>https://gov.wales/sites/default/files/publications/2019-10/healthy-weight-healthy-wales_0.pdf</w:t>
        </w:r>
      </w:hyperlink>
    </w:p>
    <w:p w14:paraId="65C1A0A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Pearson N, </w:t>
      </w:r>
      <w:proofErr w:type="spellStart"/>
      <w:r w:rsidRPr="00BE3877">
        <w:t>Haycraft</w:t>
      </w:r>
      <w:proofErr w:type="spellEnd"/>
      <w:r w:rsidRPr="00BE3877">
        <w:t xml:space="preserve"> E, Johnston </w:t>
      </w:r>
      <w:proofErr w:type="gramStart"/>
      <w:r w:rsidRPr="00BE3877">
        <w:t>JP</w:t>
      </w:r>
      <w:proofErr w:type="gramEnd"/>
      <w:r w:rsidRPr="00BE3877">
        <w:t xml:space="preserve"> and Atkin AJ. Sedentary behaviour across the primary-secondary school transition: A systematic review. Preventive Medicine 2017; 94: doi.org/10.1016/j.ypmed.2016.11.010</w:t>
      </w:r>
    </w:p>
    <w:p w14:paraId="503DC531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Harding SK, Page AS, Falconer C and Cooper AR. Longitudinal changes in sedentary time and physical activity during adolescence. International Journal of </w:t>
      </w:r>
      <w:proofErr w:type="spellStart"/>
      <w:r w:rsidRPr="00BE3877">
        <w:t>Behavioral</w:t>
      </w:r>
      <w:proofErr w:type="spellEnd"/>
      <w:r w:rsidRPr="00BE3877">
        <w:t xml:space="preserve"> Nutrition and Physical Activity 2015; 44: doi.org/10.1186/s12966-015-0204-6</w:t>
      </w:r>
    </w:p>
    <w:p w14:paraId="6CC2D96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Wu XY, Han LH, Zhang JH, Luo S, Hu JW and Sun K. The influence of physical activity, sedentary </w:t>
      </w:r>
      <w:proofErr w:type="spellStart"/>
      <w:r w:rsidRPr="00BE3877">
        <w:t>behavior</w:t>
      </w:r>
      <w:proofErr w:type="spellEnd"/>
      <w:r w:rsidRPr="00BE3877">
        <w:t xml:space="preserve"> on health-related quality of life among the general population of </w:t>
      </w:r>
      <w:r w:rsidRPr="00BE3877">
        <w:lastRenderedPageBreak/>
        <w:t xml:space="preserve">children and adolescents: A systematic review. </w:t>
      </w:r>
      <w:proofErr w:type="spellStart"/>
      <w:r w:rsidRPr="00BE3877">
        <w:t>PLoS</w:t>
      </w:r>
      <w:proofErr w:type="spellEnd"/>
      <w:r w:rsidRPr="00BE3877">
        <w:t xml:space="preserve"> ONE 2017; 12(11): </w:t>
      </w:r>
      <w:proofErr w:type="spellStart"/>
      <w:r w:rsidRPr="00BE3877">
        <w:t>doi</w:t>
      </w:r>
      <w:proofErr w:type="spellEnd"/>
      <w:r w:rsidRPr="00BE3877">
        <w:t>: 10.1371/journal.pone.0187668</w:t>
      </w:r>
    </w:p>
    <w:p w14:paraId="0A1BB7F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Royal College of Psychiatrists. No Health Without Public Mental Health (2010) London: Royal College of Psychiatrists  </w:t>
      </w:r>
      <w:hyperlink r:id="rId25" w:history="1">
        <w:r w:rsidRPr="00BE3877">
          <w:rPr>
            <w:rStyle w:val="Hyperlink"/>
          </w:rPr>
          <w:t>http://www.rcpsych.ac.uk/pdf/PS04_2010.pdf</w:t>
        </w:r>
      </w:hyperlink>
    </w:p>
    <w:p w14:paraId="646C328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UNICEF Office of Research. Fairness for Children. (2016) </w:t>
      </w:r>
      <w:hyperlink r:id="rId26" w:history="1">
        <w:r w:rsidRPr="00BE3877">
          <w:rPr>
            <w:rStyle w:val="Hyperlink"/>
          </w:rPr>
          <w:t>https://downloads.unicef.org.uk/wp-content/uploads/2016/04/RC13-ENG-FINAL.pdf?_ga=2.152490237.511457109.1576835613-2070135952.1576835613</w:t>
        </w:r>
      </w:hyperlink>
    </w:p>
    <w:p w14:paraId="25DC263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Farrand P, Parker M and Lee C. Intention of adolescents to seek professional help for emotional and behavioural difficulties. Health and Social Care in the Community 2007; 15(5): 464-473</w:t>
      </w:r>
    </w:p>
    <w:p w14:paraId="09B1C68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Morrison L and </w:t>
      </w:r>
      <w:proofErr w:type="spellStart"/>
      <w:r w:rsidRPr="00BE3877">
        <w:t>Vorhaus</w:t>
      </w:r>
      <w:proofErr w:type="spellEnd"/>
      <w:r w:rsidRPr="00BE3877">
        <w:t xml:space="preserve"> J. The impact of pupil behaviour and wellbeing on educational outcomes (2012) London: Department for Education</w:t>
      </w:r>
    </w:p>
    <w:p w14:paraId="041AAAC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Goodman R, Meltzer H, Bailey V. The Strengths and Difficulties Questionnaire: A pilot study on the validity of the self-report version. European Child and Adolescent Psychiatry 1998; 7: 125-130</w:t>
      </w:r>
    </w:p>
    <w:p w14:paraId="0C8B933F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Bonell C, Allen E, Warren E, McGowan J, Bevilacqua L, Jamal F, </w:t>
      </w:r>
      <w:proofErr w:type="spellStart"/>
      <w:r w:rsidRPr="00BE3877">
        <w:t>Legood</w:t>
      </w:r>
      <w:proofErr w:type="spellEnd"/>
      <w:r w:rsidRPr="00BE3877">
        <w:t xml:space="preserve"> R, Wiggins M, Opondo C, </w:t>
      </w:r>
      <w:proofErr w:type="spellStart"/>
      <w:r w:rsidRPr="00BE3877">
        <w:t>Mathiot</w:t>
      </w:r>
      <w:proofErr w:type="spellEnd"/>
      <w:r w:rsidRPr="00BE3877">
        <w:t xml:space="preserve"> A, </w:t>
      </w:r>
      <w:proofErr w:type="spellStart"/>
      <w:r w:rsidRPr="00BE3877">
        <w:t>Sturgess</w:t>
      </w:r>
      <w:proofErr w:type="spellEnd"/>
      <w:r w:rsidRPr="00BE3877">
        <w:t xml:space="preserve"> J, Fletcher A, </w:t>
      </w:r>
      <w:proofErr w:type="spellStart"/>
      <w:r w:rsidRPr="00BE3877">
        <w:t>Sadique</w:t>
      </w:r>
      <w:proofErr w:type="spellEnd"/>
      <w:r w:rsidRPr="00BE3877">
        <w:t xml:space="preserve"> Z, </w:t>
      </w:r>
      <w:proofErr w:type="spellStart"/>
      <w:r w:rsidRPr="00BE3877">
        <w:t>Elbourne</w:t>
      </w:r>
      <w:proofErr w:type="spellEnd"/>
      <w:r w:rsidRPr="00BE3877">
        <w:t xml:space="preserve"> D, Christie D, Bond L, Scott S and Viner RM. Effects of the Learning Together intervention on bullying and aggression in English secondary schools (INCLUSIVE): a cluster randomised controlled trial. The Lancet 2018; 392(10163): 2452-2464</w:t>
      </w:r>
    </w:p>
    <w:p w14:paraId="619C9E9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Aldridge JM and McChesney K. The relationships between school climate and adolescent mental health and wellbeing: A systematic literature review. International Journal of Educational Research 2018; 88: 121-145</w:t>
      </w:r>
    </w:p>
    <w:p w14:paraId="507DFF38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Kidger</w:t>
      </w:r>
      <w:proofErr w:type="spellEnd"/>
      <w:r w:rsidRPr="00BE3877">
        <w:t xml:space="preserve"> J, Heron J, Leon DA, Tilling K, Lewis G and Gunnell D. Self-reported school experience as a predictor of </w:t>
      </w:r>
      <w:proofErr w:type="spellStart"/>
      <w:r w:rsidRPr="00BE3877">
        <w:t>self-harm</w:t>
      </w:r>
      <w:proofErr w:type="spellEnd"/>
      <w:r w:rsidRPr="00BE3877">
        <w:t xml:space="preserve"> during adolescence: A prospective cohort study in the South West of England (ALSPAC). Journal of Affective Disorders 2015; 173: 163-169</w:t>
      </w:r>
    </w:p>
    <w:p w14:paraId="0CB4EFC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Yu MVB, Johnson HE, Deutsch </w:t>
      </w:r>
      <w:proofErr w:type="gramStart"/>
      <w:r w:rsidRPr="00BE3877">
        <w:t>NL</w:t>
      </w:r>
      <w:proofErr w:type="gramEnd"/>
      <w:r w:rsidRPr="00BE3877">
        <w:t xml:space="preserve"> and </w:t>
      </w:r>
      <w:proofErr w:type="spellStart"/>
      <w:r w:rsidRPr="00BE3877">
        <w:t>Varga</w:t>
      </w:r>
      <w:proofErr w:type="spellEnd"/>
      <w:r w:rsidRPr="00BE3877">
        <w:t xml:space="preserve"> SM. “She Calls Me by My Last Name”: Exploring Adolescent Perceptions of Positive </w:t>
      </w:r>
      <w:proofErr w:type="spellStart"/>
      <w:r w:rsidRPr="00BE3877">
        <w:t>TeacherStudent</w:t>
      </w:r>
      <w:proofErr w:type="spellEnd"/>
      <w:r w:rsidRPr="00BE3877">
        <w:t xml:space="preserve"> Relationships. Journal of Adolescent Research 2018; 33(3): 332-362</w:t>
      </w:r>
    </w:p>
    <w:p w14:paraId="14602088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De </w:t>
      </w:r>
      <w:proofErr w:type="spellStart"/>
      <w:r w:rsidRPr="00BE3877">
        <w:t>Roiste</w:t>
      </w:r>
      <w:proofErr w:type="spellEnd"/>
      <w:r w:rsidRPr="00BE3877">
        <w:t xml:space="preserve"> A, Kelly C, </w:t>
      </w:r>
      <w:proofErr w:type="spellStart"/>
      <w:r w:rsidRPr="00BE3877">
        <w:t>Molcho</w:t>
      </w:r>
      <w:proofErr w:type="spellEnd"/>
      <w:r w:rsidRPr="00BE3877">
        <w:t xml:space="preserve"> M, Gavin A and Nic </w:t>
      </w:r>
      <w:proofErr w:type="spellStart"/>
      <w:r w:rsidRPr="00BE3877">
        <w:t>Gabhainn</w:t>
      </w:r>
      <w:proofErr w:type="spellEnd"/>
      <w:r w:rsidRPr="00BE3877">
        <w:t xml:space="preserve"> S. Is school participation good for children? Associations with health and wellbeing. Health Education 2012; 112(2): 88-104</w:t>
      </w:r>
    </w:p>
    <w:p w14:paraId="46CCB675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Power S, Taylor C and Horton K. Sleepless in school? The social dimensions of young people’s bedtime rest and routines. Journal of Youth Studies 2017; 20(8): 945-958</w:t>
      </w:r>
    </w:p>
    <w:p w14:paraId="3680710F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Hysing</w:t>
      </w:r>
      <w:proofErr w:type="spellEnd"/>
      <w:r w:rsidRPr="00BE3877">
        <w:t xml:space="preserve"> M, </w:t>
      </w:r>
      <w:proofErr w:type="spellStart"/>
      <w:r w:rsidRPr="00BE3877">
        <w:t>Pallesen</w:t>
      </w:r>
      <w:proofErr w:type="spellEnd"/>
      <w:r w:rsidRPr="00BE3877">
        <w:t xml:space="preserve"> S, </w:t>
      </w:r>
      <w:proofErr w:type="spellStart"/>
      <w:r w:rsidRPr="00BE3877">
        <w:t>Stormark</w:t>
      </w:r>
      <w:proofErr w:type="spellEnd"/>
      <w:r w:rsidRPr="00BE3877">
        <w:t xml:space="preserve"> KM, Jakobsen R, </w:t>
      </w:r>
      <w:proofErr w:type="spellStart"/>
      <w:r w:rsidRPr="00BE3877">
        <w:t>Lundervold</w:t>
      </w:r>
      <w:proofErr w:type="spellEnd"/>
      <w:r w:rsidRPr="00BE3877">
        <w:t xml:space="preserve"> AJ and Sivertsen B. Sleep and use of electronic devices in adolescence: results from a large population-based study. BMJ Open 2015; 5: </w:t>
      </w:r>
      <w:proofErr w:type="spellStart"/>
      <w:r w:rsidRPr="00BE3877">
        <w:t>doi</w:t>
      </w:r>
      <w:proofErr w:type="spellEnd"/>
      <w:r w:rsidRPr="00BE3877">
        <w:t>: 10.1136/bmjopen-2014-006748</w:t>
      </w:r>
    </w:p>
    <w:p w14:paraId="787E1C05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Arora T, </w:t>
      </w:r>
      <w:proofErr w:type="spellStart"/>
      <w:r w:rsidRPr="00BE3877">
        <w:t>Broglia</w:t>
      </w:r>
      <w:proofErr w:type="spellEnd"/>
      <w:r w:rsidRPr="00BE3877">
        <w:t xml:space="preserve"> E, Thomas GN and Taheri S. Associations between specific technologies and adolescent sleep quantity, sleep quality, and parasomnias. Sleep Medicine 2014; 15: 240-247</w:t>
      </w:r>
    </w:p>
    <w:p w14:paraId="1905E846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lastRenderedPageBreak/>
        <w:t xml:space="preserve">Twenge JM, </w:t>
      </w:r>
      <w:proofErr w:type="spellStart"/>
      <w:r w:rsidRPr="00BE3877">
        <w:t>Spitzberg</w:t>
      </w:r>
      <w:proofErr w:type="spellEnd"/>
      <w:r w:rsidRPr="00BE3877">
        <w:t xml:space="preserve"> BH and Campbell WK. Less in-person social interaction with peers among U.S. adolescents in the 21st century and links to loneliness. Journal of Social and Personal Relationships 2019; 36(6): 1892-1913</w:t>
      </w:r>
    </w:p>
    <w:p w14:paraId="12AC9408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Naylor, P., Cowie, H., </w:t>
      </w:r>
      <w:proofErr w:type="spellStart"/>
      <w:r w:rsidRPr="00BE3877">
        <w:t>Cossin</w:t>
      </w:r>
      <w:proofErr w:type="spellEnd"/>
      <w:r w:rsidRPr="00BE3877">
        <w:t>, F., de Bettencourt, R. and Lemme, F. Teachers’ and pupils’ definitions of bullying. British Journal of Educational Psychology 2006; 76: 553-576</w:t>
      </w:r>
    </w:p>
    <w:p w14:paraId="01B7BF24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Perkins HW, Perkins </w:t>
      </w:r>
      <w:proofErr w:type="gramStart"/>
      <w:r w:rsidRPr="00BE3877">
        <w:t>JM</w:t>
      </w:r>
      <w:proofErr w:type="gramEnd"/>
      <w:r w:rsidRPr="00BE3877">
        <w:t xml:space="preserve"> and Craig DW. No </w:t>
      </w:r>
      <w:proofErr w:type="gramStart"/>
      <w:r w:rsidRPr="00BE3877">
        <w:t>safe haven</w:t>
      </w:r>
      <w:proofErr w:type="gramEnd"/>
      <w:r w:rsidRPr="00BE3877">
        <w:t>: locations of harassment and bullying victimization in middle schools. Journal of School Health 2014; 84: 810-818</w:t>
      </w:r>
    </w:p>
    <w:p w14:paraId="012C7F74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Jamal F, Bonell C, Harden A and </w:t>
      </w:r>
      <w:proofErr w:type="spellStart"/>
      <w:r w:rsidRPr="00BE3877">
        <w:t>Lorenc</w:t>
      </w:r>
      <w:proofErr w:type="spellEnd"/>
      <w:r w:rsidRPr="00BE3877">
        <w:t xml:space="preserve"> T. The social ecology of girls’ bullying practices: exploratory research in two London schools. Sociology of Health and Illness 2015; 37(5): </w:t>
      </w:r>
      <w:proofErr w:type="spellStart"/>
      <w:r w:rsidRPr="00BE3877">
        <w:t>doi</w:t>
      </w:r>
      <w:proofErr w:type="spellEnd"/>
      <w:r w:rsidRPr="00BE3877">
        <w:t>: 10.1111/1467-9566.12231</w:t>
      </w:r>
    </w:p>
    <w:p w14:paraId="2322418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Estyn. Action on Bullying: a review of the effectiveness of action taken by schools to address bullying on the grounds of pupils’ protected characteristics (</w:t>
      </w:r>
      <w:proofErr w:type="gramStart"/>
      <w:r w:rsidRPr="00BE3877">
        <w:t>June,</w:t>
      </w:r>
      <w:proofErr w:type="gramEnd"/>
      <w:r w:rsidRPr="00BE3877">
        <w:t xml:space="preserve"> 2014)</w:t>
      </w:r>
      <w:r w:rsidRPr="00BE3877">
        <w:br/>
      </w:r>
      <w:hyperlink r:id="rId27" w:history="1">
        <w:r w:rsidRPr="00BE3877">
          <w:rPr>
            <w:rStyle w:val="Hyperlink"/>
          </w:rPr>
          <w:t>https://www.estyn.gov.wales/thematic-reports/action-bullying-june-2014</w:t>
        </w:r>
      </w:hyperlink>
    </w:p>
    <w:p w14:paraId="7438FEA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Fletcher A, Fitzgerald-</w:t>
      </w:r>
      <w:proofErr w:type="spellStart"/>
      <w:r w:rsidRPr="00BE3877">
        <w:t>Yau</w:t>
      </w:r>
      <w:proofErr w:type="spellEnd"/>
      <w:r w:rsidRPr="00BE3877">
        <w:t xml:space="preserve"> N, Jones R, Allen E, Viner RM and Bonell C. Brief report: cyberbullying perpetration and its associations with socio-demographics, aggressive behaviour at school, and mental health outcomes. Journal of Adolescence 2014; 37: 1393-1398</w:t>
      </w:r>
    </w:p>
    <w:p w14:paraId="498F1EB5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Vignoles</w:t>
      </w:r>
      <w:proofErr w:type="spellEnd"/>
      <w:r w:rsidRPr="00BE3877">
        <w:t xml:space="preserve"> A and </w:t>
      </w:r>
      <w:proofErr w:type="spellStart"/>
      <w:r w:rsidRPr="00BE3877">
        <w:t>Meschi</w:t>
      </w:r>
      <w:proofErr w:type="spellEnd"/>
      <w:r w:rsidRPr="00BE3877">
        <w:t xml:space="preserve"> E. The determinants of non-cognitive and cognitive schooling outcomes (2010). London: Centre for the Economics of Education</w:t>
      </w:r>
    </w:p>
    <w:p w14:paraId="1299DE8C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Ringrose J, Gill R, Livingstone S and Harvey L. A qualitative study of children, young </w:t>
      </w:r>
      <w:proofErr w:type="gramStart"/>
      <w:r w:rsidRPr="00BE3877">
        <w:t>people</w:t>
      </w:r>
      <w:proofErr w:type="gramEnd"/>
      <w:r w:rsidRPr="00BE3877">
        <w:t xml:space="preserve"> and 'sexting'. (2012) NSPCC </w:t>
      </w:r>
      <w:hyperlink r:id="rId28" w:history="1">
        <w:r w:rsidRPr="00BE3877">
          <w:rPr>
            <w:rStyle w:val="Hyperlink"/>
          </w:rPr>
          <w:t>https://www.nspcc.org.uk/globalassets/documents/research-reports/qualitative-study-children-young-people-sexting-report.pdf</w:t>
        </w:r>
      </w:hyperlink>
    </w:p>
    <w:p w14:paraId="33FB5DB4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Phippen</w:t>
      </w:r>
      <w:proofErr w:type="spellEnd"/>
      <w:r w:rsidRPr="00BE3877">
        <w:t xml:space="preserve"> A. Sexting: an exploration of practices, </w:t>
      </w:r>
      <w:proofErr w:type="gramStart"/>
      <w:r w:rsidRPr="00BE3877">
        <w:t>attitudes</w:t>
      </w:r>
      <w:proofErr w:type="gramEnd"/>
      <w:r w:rsidRPr="00BE3877">
        <w:t xml:space="preserve"> and influences. (2012) UK Safer Internet Centre and NSPCC </w:t>
      </w:r>
      <w:hyperlink r:id="rId29" w:history="1">
        <w:r w:rsidRPr="00BE3877">
          <w:rPr>
            <w:rStyle w:val="Hyperlink"/>
          </w:rPr>
          <w:t>https://www.nspcc.org.uk/globalassets/documents/research-reports/sexting-exploration-practices-attitudes-influences-report-2012.pdf</w:t>
        </w:r>
      </w:hyperlink>
    </w:p>
    <w:p w14:paraId="4D4688BF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Welsh Government. Good Practice Guide: a whole education approach to Violence Against Women, Domestic Abuse and Sexual Violence in Wales. (2015)  </w:t>
      </w:r>
      <w:hyperlink r:id="rId30" w:history="1">
        <w:r w:rsidRPr="00BE3877">
          <w:rPr>
            <w:rStyle w:val="Hyperlink"/>
          </w:rPr>
          <w:t>https://www.cardiff.ac.uk/__data/assets/pdf_file/0007/522394/A-Whole-Education-Approach-to-Violence-Against-Women,-Domestic-Abuse-and-Sexual-Violence-in-Wales.pdf</w:t>
        </w:r>
      </w:hyperlink>
    </w:p>
    <w:p w14:paraId="25F8F6BB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HBSC. Publications: Data Visualisations – Negative Body Image. (2019) </w:t>
      </w:r>
      <w:hyperlink r:id="rId31" w:history="1">
        <w:r w:rsidRPr="00BE3877">
          <w:rPr>
            <w:rStyle w:val="Hyperlink"/>
          </w:rPr>
          <w:t>http://www.hbsc.org/publications/datavisualisations/body_image.html</w:t>
        </w:r>
      </w:hyperlink>
    </w:p>
    <w:p w14:paraId="5B1E3AA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Ramos P, Moreno-Maldonado C, Moreno C and Rivera F. The Role of Body Image in Internalizing Mental Health Problems in Spanish Adolescents: An Analysis According to Sex, Age, and Socioeconomic Status. Frontiers in Psychology 2019; doi.org/10.3389/fpsyg.2019.01952</w:t>
      </w:r>
    </w:p>
    <w:p w14:paraId="31BBEC0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Holland G and Tiggemann M. A systematic review of the impact of the use of social networking sites on body image and disordered eating outcomes. Body Image 2016; 17:100-110.</w:t>
      </w:r>
    </w:p>
    <w:p w14:paraId="115ADBEE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Office for National Statistics. Smoking: General Lifestyle Survey Overview - a report on the 2011 General Lifestyle Survey. (2013) </w:t>
      </w:r>
      <w:hyperlink r:id="rId32" w:history="1">
        <w:r w:rsidRPr="00BE3877">
          <w:rPr>
            <w:rStyle w:val="Hyperlink"/>
          </w:rPr>
          <w:t>https://www.ons.gov.uk/peoplepopulationandcommunity/personalandhouseholdfinances/i</w:t>
        </w:r>
        <w:r w:rsidRPr="00BE3877">
          <w:rPr>
            <w:rStyle w:val="Hyperlink"/>
          </w:rPr>
          <w:lastRenderedPageBreak/>
          <w:t>ncomeandwealth/compendium/generallifestylesurvey/2013-03-07/chapter1smokinggenerallifestylesurveyoverviewareportonthe2011generallifestylesurvey#smoking</w:t>
        </w:r>
      </w:hyperlink>
    </w:p>
    <w:p w14:paraId="65B3F7F3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Action on Smoking and Health. Smoking and Young People. (2019) </w:t>
      </w:r>
      <w:hyperlink r:id="rId33" w:history="1">
        <w:r w:rsidRPr="00BE3877">
          <w:rPr>
            <w:rStyle w:val="Hyperlink"/>
          </w:rPr>
          <w:t>https://ash.wales/campaign/young-people/#1524749124046-7b1b6ced-4625</w:t>
        </w:r>
      </w:hyperlink>
    </w:p>
    <w:p w14:paraId="6E11489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Evans DS, O'Farrell A, Sheridan A and Kavanagh P. Comparison of the health and well‐being of smoking and non‐smoking school‐aged children in Ireland. Child Care Health Dev. 2019; 45: 694–701</w:t>
      </w:r>
    </w:p>
    <w:p w14:paraId="281B0BD2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NHS. Passive smoking: protect your family and friends. (2018) </w:t>
      </w:r>
      <w:hyperlink r:id="rId34" w:history="1">
        <w:r w:rsidRPr="00BE3877">
          <w:rPr>
            <w:rStyle w:val="Hyperlink"/>
          </w:rPr>
          <w:t>https://www.nhs.uk/live-well/quit-smoking/passive-smoking-protect-your-family-and-friends/</w:t>
        </w:r>
      </w:hyperlink>
    </w:p>
    <w:p w14:paraId="30A1430B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Moor I, </w:t>
      </w:r>
      <w:proofErr w:type="spellStart"/>
      <w:r w:rsidRPr="00BE3877">
        <w:t>Rathmann</w:t>
      </w:r>
      <w:proofErr w:type="spellEnd"/>
      <w:r w:rsidRPr="00BE3877">
        <w:t xml:space="preserve"> K, </w:t>
      </w:r>
      <w:proofErr w:type="spellStart"/>
      <w:r w:rsidRPr="00BE3877">
        <w:t>Lenzi</w:t>
      </w:r>
      <w:proofErr w:type="spellEnd"/>
      <w:r w:rsidRPr="00BE3877">
        <w:t xml:space="preserve"> M, </w:t>
      </w:r>
      <w:proofErr w:type="spellStart"/>
      <w:r w:rsidRPr="00BE3877">
        <w:t>Pförtner</w:t>
      </w:r>
      <w:proofErr w:type="spellEnd"/>
      <w:r w:rsidRPr="00BE3877">
        <w:t xml:space="preserve"> TM, </w:t>
      </w:r>
      <w:proofErr w:type="spellStart"/>
      <w:r w:rsidRPr="00BE3877">
        <w:t>Nagelhout</w:t>
      </w:r>
      <w:proofErr w:type="spellEnd"/>
      <w:r w:rsidRPr="00BE3877">
        <w:t xml:space="preserve"> GE, de </w:t>
      </w:r>
      <w:proofErr w:type="spellStart"/>
      <w:r w:rsidRPr="00BE3877">
        <w:t>Looze</w:t>
      </w:r>
      <w:proofErr w:type="spellEnd"/>
      <w:r w:rsidRPr="00BE3877">
        <w:t xml:space="preserve"> M, </w:t>
      </w:r>
      <w:proofErr w:type="spellStart"/>
      <w:r w:rsidRPr="00BE3877">
        <w:t>Bendtsen</w:t>
      </w:r>
      <w:proofErr w:type="spellEnd"/>
      <w:r w:rsidRPr="00BE3877">
        <w:t xml:space="preserve"> P, Willemsen M, </w:t>
      </w:r>
      <w:proofErr w:type="spellStart"/>
      <w:r w:rsidRPr="00BE3877">
        <w:t>Kannas</w:t>
      </w:r>
      <w:proofErr w:type="spellEnd"/>
      <w:r w:rsidRPr="00BE3877">
        <w:t xml:space="preserve"> L, Kunst </w:t>
      </w:r>
      <w:proofErr w:type="gramStart"/>
      <w:r w:rsidRPr="00BE3877">
        <w:t>AE</w:t>
      </w:r>
      <w:proofErr w:type="gramEnd"/>
      <w:r w:rsidRPr="00BE3877">
        <w:t xml:space="preserve"> and Richter M. Socioeconomic inequalities in adolescent smoking across 35 countries: a multilevel analysis of the role of family, school and peers. European Journal of Public Health 2015; 25: 457–463</w:t>
      </w:r>
    </w:p>
    <w:p w14:paraId="3595C8F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NHS. Under-18s guide to quitting smoking. (2018) </w:t>
      </w:r>
      <w:hyperlink r:id="rId35" w:history="1">
        <w:r w:rsidRPr="00BE3877">
          <w:rPr>
            <w:rStyle w:val="Hyperlink"/>
          </w:rPr>
          <w:t>https://www.nhs.uk/live-well/quit-smoking/quitting-smoking-under-18s-guide/?tabname=smoking-facts</w:t>
        </w:r>
      </w:hyperlink>
    </w:p>
    <w:p w14:paraId="4E4BD957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Sutcliffe K, Brunton G, </w:t>
      </w:r>
      <w:proofErr w:type="spellStart"/>
      <w:r w:rsidRPr="00BE3877">
        <w:t>Twamley</w:t>
      </w:r>
      <w:proofErr w:type="spellEnd"/>
      <w:r w:rsidRPr="00BE3877">
        <w:t xml:space="preserve"> K, Hinds K, O'Mara-Eves </w:t>
      </w:r>
      <w:proofErr w:type="gramStart"/>
      <w:r w:rsidRPr="00BE3877">
        <w:t>AJ</w:t>
      </w:r>
      <w:proofErr w:type="gramEnd"/>
      <w:r w:rsidRPr="00BE3877">
        <w:t xml:space="preserve"> and Thomas J. Young people’s access to tobacco: a mixed-method systematic review (2011) London: EPPI-Centre, Social Science Research Unit, Institute of Education, University of London</w:t>
      </w:r>
    </w:p>
    <w:p w14:paraId="4EDDB32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Wright C, Kipping R, Hickman M, Campbell R and Heron J.  Effect of multiple risk behaviours in adolescence on educational attainment at age 16 years: a UK birth cohort study. BMJ Open 2018; 8: doi:10.1136/ bmjopen-2017-020182</w:t>
      </w:r>
    </w:p>
    <w:p w14:paraId="2A2DA845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Chhatralia</w:t>
      </w:r>
      <w:proofErr w:type="spellEnd"/>
      <w:r w:rsidRPr="00BE3877">
        <w:t xml:space="preserve"> K and Pye J. Who is Generation Next? (2014) London: Ipsos MORI and the National Children’s Bureau</w:t>
      </w:r>
    </w:p>
    <w:p w14:paraId="349D2A25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de Lacy E, Fletcher A, Hewitt G, Murphy S and Moore G. Cross-sectional study examining the prevalence, correlates and sequencing of electronic cigarette and tobacco use among 11–16- year olds in schools in Wales. BMJ Open 2017; 7: doi:10.1136/bmjopen-2016- 012784</w:t>
      </w:r>
      <w:r w:rsidRPr="00BE3877">
        <w:br/>
        <w:t>School Health Research Network Research Brief:</w:t>
      </w:r>
      <w:r w:rsidRPr="00BE3877">
        <w:br/>
      </w:r>
      <w:hyperlink r:id="rId36" w:history="1">
        <w:r w:rsidRPr="00BE3877">
          <w:rPr>
            <w:rStyle w:val="Hyperlink"/>
          </w:rPr>
          <w:t>http://www.shrn.org.uk/wp-content/uploads/2017/03/de-Lacy_Electronic-cigarette-use_final.pdf</w:t>
        </w:r>
      </w:hyperlink>
      <w:r w:rsidRPr="00BE3877">
        <w:t xml:space="preserve"> </w:t>
      </w:r>
    </w:p>
    <w:p w14:paraId="0C66A76F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Action on Smoking and Health. A study into young people’s e-cigarette awareness and usage in Wales – 2016. (2016) </w:t>
      </w:r>
      <w:hyperlink r:id="rId37" w:history="1">
        <w:r w:rsidRPr="00BE3877">
          <w:rPr>
            <w:rStyle w:val="Hyperlink"/>
          </w:rPr>
          <w:t>https://ash.wales/wp-content/uploads/2018/05/ashwales-ecig-report2016-final.pdf</w:t>
        </w:r>
      </w:hyperlink>
    </w:p>
    <w:p w14:paraId="59320691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Hallingberg B, Maynard OM, Bauld L, Brown R, Gray L, Lowthian E, MacKintosh AM, Moore L, </w:t>
      </w:r>
      <w:proofErr w:type="spellStart"/>
      <w:r w:rsidRPr="00BE3877">
        <w:t>Munafo</w:t>
      </w:r>
      <w:proofErr w:type="spellEnd"/>
      <w:r w:rsidRPr="00BE3877">
        <w:t xml:space="preserve"> MR and Moore G. Have e-cigarettes renormalised or displaced youth smoking? Results of a segmented regression analysis of repeated cross sectional survey data in England, </w:t>
      </w:r>
      <w:proofErr w:type="gramStart"/>
      <w:r w:rsidRPr="00BE3877">
        <w:t>Scotland</w:t>
      </w:r>
      <w:proofErr w:type="gramEnd"/>
      <w:r w:rsidRPr="00BE3877">
        <w:t xml:space="preserve"> and Wales. BMJ Open 2019; doi:10.1136/ tobaccocontrol-2018-054584.</w:t>
      </w:r>
      <w:r w:rsidRPr="00BE3877">
        <w:br/>
        <w:t xml:space="preserve">School Health Research Network Research Brief: </w:t>
      </w:r>
      <w:r w:rsidRPr="00BE3877">
        <w:br/>
      </w:r>
      <w:hyperlink r:id="rId38" w:history="1">
        <w:r w:rsidRPr="00BE3877">
          <w:rPr>
            <w:rStyle w:val="Hyperlink"/>
          </w:rPr>
          <w:t>http://www.shrn.org.uk/wp-content/uploads/2019/08/Hallingberg-Renormalisation-v2.pdf</w:t>
        </w:r>
      </w:hyperlink>
    </w:p>
    <w:p w14:paraId="6F32E02F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Public Health Wales. A Healthier North Wales: Alcohol Consumption &amp; Risky Behaviour. (2016) </w:t>
      </w:r>
      <w:hyperlink r:id="rId39" w:history="1">
        <w:r w:rsidRPr="00BE3877">
          <w:rPr>
            <w:rStyle w:val="Hyperlink"/>
          </w:rPr>
          <w:t>http://www.wales.nhs.uk/sitesplus/888/page/66628</w:t>
        </w:r>
      </w:hyperlink>
    </w:p>
    <w:p w14:paraId="0DCF606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lastRenderedPageBreak/>
        <w:t xml:space="preserve">Public Health Wales Observatory. Alcohol in Wales. (2019) </w:t>
      </w:r>
      <w:hyperlink r:id="rId40" w:history="1">
        <w:r w:rsidRPr="00BE3877">
          <w:rPr>
            <w:rStyle w:val="Hyperlink"/>
          </w:rPr>
          <w:t>https://publichealthwales.shinyapps.io/AlcoholinWales/#section-alcohol-attributable-admissions-narrow</w:t>
        </w:r>
      </w:hyperlink>
    </w:p>
    <w:p w14:paraId="67B2875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World Health Organization. Adolescent alcohol-related behaviours: trends and inequalities in the WHO European Region, 2002–2014. (2018)  </w:t>
      </w:r>
      <w:hyperlink r:id="rId41" w:history="1">
        <w:r w:rsidRPr="00BE3877">
          <w:rPr>
            <w:rStyle w:val="Hyperlink"/>
          </w:rPr>
          <w:t>http://www.euro.who.int/__data/assets/pdf_file/0007/382840/WH15-alcohol-report-eng.pdf</w:t>
        </w:r>
      </w:hyperlink>
    </w:p>
    <w:p w14:paraId="46FFF837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Welch KA, Carson A and Lawrie SM. Brain Structure in Adolescents and Young Adults with Alcohol Problems: Systematic Review of Imaging Studies. Alcohol and Alcoholism 2013; 48: 433–444</w:t>
      </w:r>
    </w:p>
    <w:p w14:paraId="64E2325D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Richter L, Pugh BS, Peters EA, Vaughan </w:t>
      </w:r>
      <w:proofErr w:type="gramStart"/>
      <w:r w:rsidRPr="00BE3877">
        <w:t>RD</w:t>
      </w:r>
      <w:proofErr w:type="gramEnd"/>
      <w:r w:rsidRPr="00BE3877">
        <w:t xml:space="preserve"> and Foster SE. Underage drinking: prevalence and correlates of risky drinking measures among youth aged 12–20. The American Journal of Drug and Alcohol Abuse 2016; 42: 385-394</w:t>
      </w:r>
    </w:p>
    <w:p w14:paraId="54B31890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Holtes</w:t>
      </w:r>
      <w:proofErr w:type="spellEnd"/>
      <w:r w:rsidRPr="00BE3877">
        <w:t xml:space="preserve"> M, </w:t>
      </w:r>
      <w:proofErr w:type="spellStart"/>
      <w:r w:rsidRPr="00BE3877">
        <w:t>Bannink</w:t>
      </w:r>
      <w:proofErr w:type="spellEnd"/>
      <w:r w:rsidRPr="00BE3877">
        <w:t xml:space="preserve"> R, Joosten - van </w:t>
      </w:r>
      <w:proofErr w:type="spellStart"/>
      <w:r w:rsidRPr="00BE3877">
        <w:t>Zwanenburg</w:t>
      </w:r>
      <w:proofErr w:type="spellEnd"/>
      <w:r w:rsidRPr="00BE3877">
        <w:t xml:space="preserve"> E, van </w:t>
      </w:r>
      <w:proofErr w:type="gramStart"/>
      <w:r w:rsidRPr="00BE3877">
        <w:t>As</w:t>
      </w:r>
      <w:proofErr w:type="gramEnd"/>
      <w:r w:rsidRPr="00BE3877">
        <w:t xml:space="preserve"> E, </w:t>
      </w:r>
      <w:proofErr w:type="spellStart"/>
      <w:r w:rsidRPr="00BE3877">
        <w:t>Raat</w:t>
      </w:r>
      <w:proofErr w:type="spellEnd"/>
      <w:r w:rsidRPr="00BE3877">
        <w:t xml:space="preserve"> H and </w:t>
      </w:r>
      <w:proofErr w:type="spellStart"/>
      <w:r w:rsidRPr="00BE3877">
        <w:t>Broeren</w:t>
      </w:r>
      <w:proofErr w:type="spellEnd"/>
      <w:r w:rsidRPr="00BE3877">
        <w:t xml:space="preserve"> S. Associations of truancy, perceived school performance, and mental health with alcohol consumption among adolescents. Journal of School Health. 2015; 85: 852-860</w:t>
      </w:r>
    </w:p>
    <w:p w14:paraId="75C2330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Ryan SA and </w:t>
      </w:r>
      <w:proofErr w:type="spellStart"/>
      <w:r w:rsidRPr="00BE3877">
        <w:t>Kokotailo</w:t>
      </w:r>
      <w:proofErr w:type="spellEnd"/>
      <w:r w:rsidRPr="00BE3877">
        <w:t xml:space="preserve"> P. Alcohol Use by Youth. American Academy of </w:t>
      </w:r>
      <w:proofErr w:type="spellStart"/>
      <w:r w:rsidRPr="00BE3877">
        <w:t>Pediatrics</w:t>
      </w:r>
      <w:proofErr w:type="spellEnd"/>
      <w:r w:rsidRPr="00BE3877">
        <w:t xml:space="preserve"> 2019; 144(1): doi.org/10.1542/peds.2019-1357</w:t>
      </w:r>
    </w:p>
    <w:p w14:paraId="362CE19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NHS. Should my child drink alcohol? (2018) </w:t>
      </w:r>
      <w:r w:rsidRPr="00BE3877">
        <w:br/>
      </w:r>
      <w:hyperlink r:id="rId42" w:history="1">
        <w:r w:rsidRPr="00BE3877">
          <w:rPr>
            <w:rStyle w:val="Hyperlink"/>
          </w:rPr>
          <w:t>https://www.nhs.uk/common-health-questions/childrens-health/should-my-child-drink-alcohol/</w:t>
        </w:r>
      </w:hyperlink>
    </w:p>
    <w:p w14:paraId="72D771D6" w14:textId="77777777" w:rsidR="00BE3877" w:rsidRPr="00BE3877" w:rsidRDefault="00BE3877" w:rsidP="00BE3877">
      <w:pPr>
        <w:numPr>
          <w:ilvl w:val="0"/>
          <w:numId w:val="1"/>
        </w:numPr>
      </w:pPr>
      <w:proofErr w:type="spellStart"/>
      <w:r w:rsidRPr="00BE3877">
        <w:t>Hingson</w:t>
      </w:r>
      <w:proofErr w:type="spellEnd"/>
      <w:r w:rsidRPr="00BE3877">
        <w:t xml:space="preserve"> RW, </w:t>
      </w:r>
      <w:proofErr w:type="spellStart"/>
      <w:r w:rsidRPr="00BE3877">
        <w:t>Heeren</w:t>
      </w:r>
      <w:proofErr w:type="spellEnd"/>
      <w:r w:rsidRPr="00BE3877">
        <w:t xml:space="preserve"> T and Winter MR. Age at drinking onset and alcohol dependence. Archives of </w:t>
      </w:r>
      <w:proofErr w:type="spellStart"/>
      <w:r w:rsidRPr="00BE3877">
        <w:t>Pediatric</w:t>
      </w:r>
      <w:proofErr w:type="spellEnd"/>
      <w:r w:rsidRPr="00BE3877">
        <w:t xml:space="preserve"> and Adolescent Medicine 2006; 160: 739-746</w:t>
      </w:r>
    </w:p>
    <w:p w14:paraId="4E3714FA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>UK Chief Medical Officers’ Low Risk Drinking Guidelines. (</w:t>
      </w:r>
      <w:proofErr w:type="gramStart"/>
      <w:r w:rsidRPr="00BE3877">
        <w:t>August,</w:t>
      </w:r>
      <w:proofErr w:type="gramEnd"/>
      <w:r w:rsidRPr="00BE3877">
        <w:t xml:space="preserve"> 2016) </w:t>
      </w:r>
      <w:hyperlink r:id="rId43" w:history="1">
        <w:r w:rsidRPr="00BE3877">
          <w:rPr>
            <w:rStyle w:val="Hyperlink"/>
          </w:rPr>
          <w:t>https://www.gov.uk/government/uploads/system/uploads/attachment_data/file/545937/UK_CMOs__report.pdf</w:t>
        </w:r>
      </w:hyperlink>
    </w:p>
    <w:p w14:paraId="322CACF0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World Health Organization. Global status report on alcohol and health 2018. (2018) </w:t>
      </w:r>
      <w:hyperlink r:id="rId44" w:history="1">
        <w:r w:rsidRPr="00BE3877">
          <w:rPr>
            <w:rStyle w:val="Hyperlink"/>
          </w:rPr>
          <w:t>https://apps.who.int/iris/bitstream/handle/10665/274603/9789241565639-eng.pdf?ua=1</w:t>
        </w:r>
      </w:hyperlink>
    </w:p>
    <w:p w14:paraId="76F33F29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Phillips-Howard PA, Bellis MA, </w:t>
      </w:r>
      <w:proofErr w:type="spellStart"/>
      <w:r w:rsidRPr="00BE3877">
        <w:t>Briant</w:t>
      </w:r>
      <w:proofErr w:type="spellEnd"/>
      <w:r w:rsidRPr="00BE3877">
        <w:t xml:space="preserve"> LB, Jones H, Downing J, Kelly IE, Bird T and Cook PA. Wellbeing, alcohol use and sexual activity in young teenagers: findings from a cross-sectional survey in school children in North West England. Substance Abuse Treatment, Prevention, and Policy 2010; 5(27): doi:10.1186/1747-597X-5-27</w:t>
      </w:r>
    </w:p>
    <w:p w14:paraId="6CCB0F23" w14:textId="77777777" w:rsidR="00BE3877" w:rsidRPr="00BE3877" w:rsidRDefault="00BE3877" w:rsidP="00BE3877">
      <w:pPr>
        <w:numPr>
          <w:ilvl w:val="0"/>
          <w:numId w:val="1"/>
        </w:numPr>
      </w:pPr>
      <w:r w:rsidRPr="00BE3877">
        <w:t xml:space="preserve">National Institute for Health and Clinical Excellence. Alcohol interventions in secondary and further education. (2019) </w:t>
      </w:r>
      <w:hyperlink r:id="rId45" w:history="1">
        <w:r w:rsidRPr="00BE3877">
          <w:rPr>
            <w:rStyle w:val="Hyperlink"/>
          </w:rPr>
          <w:t>https://www.nice.org.uk/guidance/ng135</w:t>
        </w:r>
      </w:hyperlink>
    </w:p>
    <w:p w14:paraId="2E23DC53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FRANK. Cannabis. (2019) </w:t>
      </w:r>
      <w:hyperlink r:id="rId46" w:history="1">
        <w:r w:rsidRPr="00BE3877">
          <w:rPr>
            <w:rStyle w:val="Hyperlink"/>
          </w:rPr>
          <w:t>https://www.talktofrank.com/drug/cannabis</w:t>
        </w:r>
      </w:hyperlink>
      <w:r w:rsidRPr="00BE3877">
        <w:t xml:space="preserve">Thompson K, Leadbeater B, Ames M and </w:t>
      </w:r>
      <w:proofErr w:type="spellStart"/>
      <w:r w:rsidRPr="00BE3877">
        <w:t>Merrin</w:t>
      </w:r>
      <w:proofErr w:type="spellEnd"/>
      <w:r w:rsidRPr="00BE3877">
        <w:t xml:space="preserve"> GJ. Associations Between Marijuana Use Trajectories and Educational and Occupational Success in Young Adulthood. Prevention Science 2019; 20(2): 257-269</w:t>
      </w:r>
    </w:p>
    <w:p w14:paraId="30C82057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Beverly HK, Castro Y and </w:t>
      </w:r>
      <w:proofErr w:type="spellStart"/>
      <w:r w:rsidRPr="00BE3877">
        <w:t>Opara</w:t>
      </w:r>
      <w:proofErr w:type="spellEnd"/>
      <w:r w:rsidRPr="00BE3877">
        <w:t xml:space="preserve"> I. Age of First Marijuana Use and Its Impact on Education Attainment and Employment Status. Journal of Drug Issues 2019; 49: 228–237</w:t>
      </w:r>
    </w:p>
    <w:p w14:paraId="088D6853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lastRenderedPageBreak/>
        <w:t>Fletcher A and Bonell C. Social network influences on smoking, drinking and drug use in secondary school:  centrifugal and centripetal forces. Sociology of Health and Illness 2013; 35(5): 699-715</w:t>
      </w:r>
    </w:p>
    <w:p w14:paraId="33E7ECE7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Horwood LJ, Fergusson DM, Coffey C, Patton GC, Tait R, Smart D, </w:t>
      </w:r>
      <w:proofErr w:type="spellStart"/>
      <w:r w:rsidRPr="00BE3877">
        <w:t>Letcher</w:t>
      </w:r>
      <w:proofErr w:type="spellEnd"/>
      <w:r w:rsidRPr="00BE3877">
        <w:t xml:space="preserve"> P, </w:t>
      </w:r>
      <w:proofErr w:type="spellStart"/>
      <w:r w:rsidRPr="00BE3877">
        <w:t>Silins</w:t>
      </w:r>
      <w:proofErr w:type="spellEnd"/>
      <w:r w:rsidRPr="00BE3877">
        <w:t xml:space="preserve"> E and Hutchinson DM. Cannabis and depression: an integrative data analysis of four Australasian cohorts. Drug and Alcohol Dependence 2012; 126(3): 369-378</w:t>
      </w:r>
    </w:p>
    <w:p w14:paraId="63782EF6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European Monitoring for Drugs and Drug Addiction. United Kingdom – Country Drug Report 2019. 2019 </w:t>
      </w:r>
      <w:hyperlink r:id="rId47" w:history="1">
        <w:r w:rsidRPr="00BE3877">
          <w:rPr>
            <w:rStyle w:val="Hyperlink"/>
          </w:rPr>
          <w:t>http://www.emcdda.europa.eu/countries/drug-reports/2019/united-kingdom/drug-use_en</w:t>
        </w:r>
      </w:hyperlink>
    </w:p>
    <w:p w14:paraId="14AE736E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Weatherson</w:t>
      </w:r>
      <w:proofErr w:type="spellEnd"/>
      <w:r w:rsidRPr="00BE3877">
        <w:t xml:space="preserve"> KA, O’Neill M, Lau EY, Qian W, Leatherdale ST and Faulkner GEJ. The Protective Effects of School Connectedness on Substance Use </w:t>
      </w:r>
      <w:proofErr w:type="spellStart"/>
      <w:r w:rsidRPr="00BE3877">
        <w:t>andPhysical</w:t>
      </w:r>
      <w:proofErr w:type="spellEnd"/>
      <w:r w:rsidRPr="00BE3877">
        <w:t xml:space="preserve"> Activity. Journal of Adolescent Health 2018; 63: 724-731</w:t>
      </w:r>
    </w:p>
    <w:p w14:paraId="038EF132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Gase</w:t>
      </w:r>
      <w:proofErr w:type="spellEnd"/>
      <w:r w:rsidRPr="00BE3877">
        <w:t xml:space="preserve"> LN, Gomez LM, </w:t>
      </w:r>
      <w:proofErr w:type="spellStart"/>
      <w:r w:rsidRPr="00BE3877">
        <w:t>Kuo</w:t>
      </w:r>
      <w:proofErr w:type="spellEnd"/>
      <w:r w:rsidRPr="00BE3877">
        <w:t xml:space="preserve"> T, Glenn BA, </w:t>
      </w:r>
      <w:proofErr w:type="spellStart"/>
      <w:r w:rsidRPr="00BE3877">
        <w:t>Inkelas</w:t>
      </w:r>
      <w:proofErr w:type="spellEnd"/>
      <w:r w:rsidRPr="00BE3877">
        <w:t xml:space="preserve"> M and Ponce NA. Relationships Among Student, Staff, and Administrative Measures of School Climate and Student Health and Academic Outcomes. Journal of School Health 2017; 87(5): 319-328</w:t>
      </w:r>
    </w:p>
    <w:p w14:paraId="1DC7C16A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Perra</w:t>
      </w:r>
      <w:proofErr w:type="spellEnd"/>
      <w:r w:rsidRPr="00BE3877">
        <w:t xml:space="preserve"> O, Fletcher A, Bonell C, Higgins K and McCrystal P. School-related predictors of smoking, drinking and drug use: evidence from the Belfast Youth Development Study. Journal of Adolescence 2012; 35: 315-324</w:t>
      </w:r>
    </w:p>
    <w:p w14:paraId="1353C678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FRANK. New Psychoactive Substances. (2019) </w:t>
      </w:r>
      <w:r w:rsidRPr="00BE3877">
        <w:br/>
      </w:r>
      <w:hyperlink r:id="rId48" w:history="1">
        <w:r w:rsidRPr="00BE3877">
          <w:rPr>
            <w:rStyle w:val="Hyperlink"/>
          </w:rPr>
          <w:t>https://www.talktofrank.com/drug/new-psychoactive-substances</w:t>
        </w:r>
      </w:hyperlink>
    </w:p>
    <w:p w14:paraId="0FF19D99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NHS Digital. Smoking, Drinking and Drug Use among Young People in England 2018. (2019) </w:t>
      </w:r>
      <w:hyperlink r:id="rId49" w:history="1">
        <w:r w:rsidRPr="00BE3877">
          <w:rPr>
            <w:rStyle w:val="Hyperlink"/>
          </w:rPr>
          <w:t>https://digital.nhs.uk/data-and-information/publications/statistical/smoking-drinking-and-drug-use-among-young-people-in-england/2018/part-8-drug-use-prevalence-and-consumption</w:t>
        </w:r>
      </w:hyperlink>
    </w:p>
    <w:p w14:paraId="4337AC4E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FRANK. Nitrous Oxide. (2019) </w:t>
      </w:r>
      <w:hyperlink r:id="rId50" w:history="1">
        <w:r w:rsidRPr="00BE3877">
          <w:rPr>
            <w:rStyle w:val="Hyperlink"/>
          </w:rPr>
          <w:t>https://www.talktofrank.com/drug/nitrous-oxide</w:t>
        </w:r>
      </w:hyperlink>
    </w:p>
    <w:p w14:paraId="49DA0F3E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Young H, Burke L and </w:t>
      </w:r>
      <w:proofErr w:type="spellStart"/>
      <w:r w:rsidRPr="00BE3877">
        <w:t>Gabhainn</w:t>
      </w:r>
      <w:proofErr w:type="spellEnd"/>
      <w:r w:rsidRPr="00BE3877">
        <w:t xml:space="preserve"> SN. Sexual intercourse, age of initiation and contraception among adolescents in Ireland: findings from the Health Behaviour in School-aged Children (HBSC) Ireland study. BMC Public Health 2018; 18(362): doi:10.1186/s12889-018-5217-z</w:t>
      </w:r>
    </w:p>
    <w:p w14:paraId="4D878E5F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Tanton</w:t>
      </w:r>
      <w:proofErr w:type="spellEnd"/>
      <w:r w:rsidRPr="00BE3877">
        <w:t xml:space="preserve"> C, Jones KG, </w:t>
      </w:r>
      <w:proofErr w:type="spellStart"/>
      <w:r w:rsidRPr="00BE3877">
        <w:t>Macdowall</w:t>
      </w:r>
      <w:proofErr w:type="spellEnd"/>
      <w:r w:rsidRPr="00BE3877">
        <w:t xml:space="preserve"> W, Clifton S, Mitchell KR, Datta J, Lewis R, Field N, Sonnenberg P, Stevens A, </w:t>
      </w:r>
      <w:proofErr w:type="spellStart"/>
      <w:r w:rsidRPr="00BE3877">
        <w:t>Wellings</w:t>
      </w:r>
      <w:proofErr w:type="spellEnd"/>
      <w:r w:rsidRPr="00BE3877">
        <w:t xml:space="preserve"> K, Johnson AM and Mercer CH. Patterns and trends in sources of information about sex among young people in Britain: evidence from three National Surveys of Sexual Attitudes and Lifestyles. BMJ Open 2015; 5: doi:10.1136/bmjopen-2015-007834</w:t>
      </w:r>
    </w:p>
    <w:p w14:paraId="646DABF9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Public Health Wales. HIV and STI Trends in Wales – Surveillance Report, September 2018. (2018) </w:t>
      </w:r>
      <w:hyperlink r:id="rId51" w:history="1">
        <w:r w:rsidRPr="00BE3877">
          <w:rPr>
            <w:rStyle w:val="Hyperlink"/>
          </w:rPr>
          <w:t>http://www.wales.nhs.uk/sitesplus/documents/888/HIV%20and%20STI%20trends%20in%20Wales%20Report%202018_2017%20-Surveillance%20report.pdf</w:t>
        </w:r>
      </w:hyperlink>
    </w:p>
    <w:p w14:paraId="5E6B6B03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Moreau N, </w:t>
      </w:r>
      <w:proofErr w:type="spellStart"/>
      <w:r w:rsidRPr="00BE3877">
        <w:t>Költő</w:t>
      </w:r>
      <w:proofErr w:type="spellEnd"/>
      <w:r w:rsidRPr="00BE3877">
        <w:t xml:space="preserve"> A, Young H, </w:t>
      </w:r>
      <w:proofErr w:type="spellStart"/>
      <w:r w:rsidRPr="00BE3877">
        <w:t>Maillochon</w:t>
      </w:r>
      <w:proofErr w:type="spellEnd"/>
      <w:r w:rsidRPr="00BE3877">
        <w:t xml:space="preserve"> F and </w:t>
      </w:r>
      <w:proofErr w:type="spellStart"/>
      <w:r w:rsidRPr="00BE3877">
        <w:t>Godeau</w:t>
      </w:r>
      <w:proofErr w:type="spellEnd"/>
      <w:r w:rsidRPr="00BE3877">
        <w:t xml:space="preserve"> E. Negative feelings about the timing of first sexual intercourse: findings from the Health Behaviour in School-aged Children study. International Journal of Public Health 2019; 64: 219-227</w:t>
      </w:r>
    </w:p>
    <w:p w14:paraId="59F54015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lastRenderedPageBreak/>
        <w:t xml:space="preserve">Sex Education Forum. Young People’s RSE poll 2019. (2019) </w:t>
      </w:r>
      <w:hyperlink r:id="rId52" w:history="1">
        <w:r w:rsidRPr="00BE3877">
          <w:rPr>
            <w:rStyle w:val="Hyperlink"/>
          </w:rPr>
          <w:t>https://www.sexeducationforum.org.uk/sites/default/files/field/attachment/Young%20people%27s%20RSE%20poll%202019%20-%20SEF.pdf</w:t>
        </w:r>
      </w:hyperlink>
    </w:p>
    <w:p w14:paraId="30A85858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>Young H, Long SJ, Hallingberg H, Fletcher A, Hewitt G, Murphy S and Moore G. School practices important for students’ sexual health: analysis of the school health research network survey in Wales. European Journal of Public Health 2017; 28(2): doi.org/10.1093/</w:t>
      </w:r>
      <w:proofErr w:type="spellStart"/>
      <w:r w:rsidRPr="00BE3877">
        <w:t>eurpub</w:t>
      </w:r>
      <w:proofErr w:type="spellEnd"/>
      <w:r w:rsidRPr="00BE3877">
        <w:t>/ckx203</w:t>
      </w:r>
      <w:r w:rsidRPr="00BE3877">
        <w:br/>
        <w:t xml:space="preserve">School Health Research Network Research Brief: </w:t>
      </w:r>
      <w:r w:rsidRPr="00BE3877">
        <w:br/>
      </w:r>
      <w:hyperlink r:id="rId53" w:history="1">
        <w:r w:rsidRPr="00BE3877">
          <w:rPr>
            <w:rStyle w:val="Hyperlink"/>
          </w:rPr>
          <w:t>http://www.shrn.org.uk/wp-content/uploads/2016/09/Young_SRE_English.pdf</w:t>
        </w:r>
      </w:hyperlink>
    </w:p>
    <w:p w14:paraId="45520554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Pound P, </w:t>
      </w:r>
      <w:proofErr w:type="spellStart"/>
      <w:r w:rsidRPr="00BE3877">
        <w:t>Denford</w:t>
      </w:r>
      <w:proofErr w:type="spellEnd"/>
      <w:r w:rsidRPr="00BE3877">
        <w:t xml:space="preserve"> S, </w:t>
      </w:r>
      <w:proofErr w:type="spellStart"/>
      <w:r w:rsidRPr="00BE3877">
        <w:t>Shucksmith</w:t>
      </w:r>
      <w:proofErr w:type="spellEnd"/>
      <w:r w:rsidRPr="00BE3877">
        <w:t xml:space="preserve"> J, </w:t>
      </w:r>
      <w:proofErr w:type="spellStart"/>
      <w:r w:rsidRPr="00BE3877">
        <w:t>Tanton</w:t>
      </w:r>
      <w:proofErr w:type="spellEnd"/>
      <w:r w:rsidRPr="00BE3877">
        <w:t xml:space="preserve"> C, Johnson AM, Owen J, Hutten R, Mohan L, Bonell C, Abraham C and Campbell R. What is best practice in sex and relationship education? A synthesis of evidence, including stakeholders’ views. BMJ Open 2017; 7: </w:t>
      </w:r>
      <w:r w:rsidRPr="00BE3877">
        <w:br/>
        <w:t>doi:10.1136/bmjopen-2016-014791</w:t>
      </w:r>
    </w:p>
    <w:p w14:paraId="76A34DCA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Ketting</w:t>
      </w:r>
      <w:proofErr w:type="spellEnd"/>
      <w:r w:rsidRPr="00BE3877">
        <w:t xml:space="preserve"> E and Ivanova O. Sexuality Education in Europe and Central Asia. (2018) </w:t>
      </w:r>
      <w:hyperlink r:id="rId54" w:history="1">
        <w:r w:rsidRPr="00BE3877">
          <w:rPr>
            <w:rStyle w:val="Hyperlink"/>
          </w:rPr>
          <w:t>https://www.ippfen.org/sites/ippfen/files/2018-05/Comprehensive%20Country%20Report%20on%20CSE%20in%20Europe%20and%20Central%20Asia_0.pdf</w:t>
        </w:r>
      </w:hyperlink>
    </w:p>
    <w:p w14:paraId="71EC3C42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Welsh Government. The Future of the Sex and Relationships Education Curriculum in Wales - Recommendations of the Sex and Relationships Education Expert Panel. (2017) </w:t>
      </w:r>
      <w:hyperlink r:id="rId55" w:history="1">
        <w:r w:rsidRPr="00BE3877">
          <w:rPr>
            <w:rStyle w:val="Hyperlink"/>
          </w:rPr>
          <w:t>https://gov.wales/sites/default/files/publications/2018-03/the-future-of-the-sex-and-relationships-education-curriculum-in-wales.pdf</w:t>
        </w:r>
      </w:hyperlink>
    </w:p>
    <w:p w14:paraId="7164AB12" w14:textId="77777777" w:rsidR="00BE3877" w:rsidRPr="00BE3877" w:rsidRDefault="00BE3877" w:rsidP="00BE3877">
      <w:pPr>
        <w:numPr>
          <w:ilvl w:val="0"/>
          <w:numId w:val="5"/>
        </w:numPr>
      </w:pPr>
      <w:proofErr w:type="spellStart"/>
      <w:r w:rsidRPr="00BE3877">
        <w:t>Macdowall</w:t>
      </w:r>
      <w:proofErr w:type="spellEnd"/>
      <w:r w:rsidRPr="00BE3877">
        <w:t xml:space="preserve"> W, Jones KG, </w:t>
      </w:r>
      <w:proofErr w:type="spellStart"/>
      <w:r w:rsidRPr="00BE3877">
        <w:t>Tanton</w:t>
      </w:r>
      <w:proofErr w:type="spellEnd"/>
      <w:r w:rsidRPr="00BE3877">
        <w:t xml:space="preserve"> C, Clifton S, </w:t>
      </w:r>
      <w:proofErr w:type="spellStart"/>
      <w:r w:rsidRPr="00BE3877">
        <w:t>Copas</w:t>
      </w:r>
      <w:proofErr w:type="spellEnd"/>
      <w:r w:rsidRPr="00BE3877">
        <w:t xml:space="preserve"> AJ, Mercer CH, Palmer MJ, Lewis R, Datta J, Mitchell KR, Field N, Sonnenberg P, Johnson </w:t>
      </w:r>
      <w:proofErr w:type="gramStart"/>
      <w:r w:rsidRPr="00BE3877">
        <w:t>AM</w:t>
      </w:r>
      <w:proofErr w:type="gramEnd"/>
      <w:r w:rsidRPr="00BE3877">
        <w:t xml:space="preserve"> and </w:t>
      </w:r>
      <w:proofErr w:type="spellStart"/>
      <w:r w:rsidRPr="00BE3877">
        <w:t>Wellings</w:t>
      </w:r>
      <w:proofErr w:type="spellEnd"/>
      <w:r w:rsidRPr="00BE3877">
        <w:t xml:space="preserve"> K. Associations between source of information about sex and sexual health outcomes in Britain: findings from the third National Survey of Sexual Attitudes and Lifestyles (Natsal-3). BMJ Open 2015; 5: </w:t>
      </w:r>
      <w:proofErr w:type="spellStart"/>
      <w:r w:rsidRPr="00BE3877">
        <w:t>doi</w:t>
      </w:r>
      <w:proofErr w:type="spellEnd"/>
      <w:r w:rsidRPr="00BE3877">
        <w:t>: 10.1136/bmjopen-2015-007837</w:t>
      </w:r>
    </w:p>
    <w:p w14:paraId="3E03C83A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Department of Health. A Framework for Sexual Health Improvement in England. (2013) </w:t>
      </w:r>
      <w:hyperlink r:id="rId56" w:history="1">
        <w:r w:rsidRPr="00BE3877">
          <w:rPr>
            <w:rStyle w:val="Hyperlink"/>
          </w:rPr>
          <w:t>https://assets.publishing.service.gov.uk/government/uploads/system/uploads/attachment_data/file/142592/9287-2900714-TSO-SexualHealthPolicyNW_ACCESSIBLE.pdf</w:t>
        </w:r>
      </w:hyperlink>
    </w:p>
    <w:p w14:paraId="3225281F" w14:textId="77777777" w:rsidR="00BE3877" w:rsidRPr="00BE3877" w:rsidRDefault="00BE3877" w:rsidP="00BE3877">
      <w:pPr>
        <w:numPr>
          <w:ilvl w:val="0"/>
          <w:numId w:val="5"/>
        </w:numPr>
      </w:pPr>
      <w:r w:rsidRPr="00BE3877">
        <w:t xml:space="preserve">Young H, Long SJ, Melendez-Torres GJ, Kim HS, Hewitt G, Murphy S and Moore GF. Dating and relationship violence victimization and perpetration among </w:t>
      </w:r>
      <w:proofErr w:type="gramStart"/>
      <w:r w:rsidRPr="00BE3877">
        <w:t>11-16 year</w:t>
      </w:r>
      <w:proofErr w:type="gramEnd"/>
      <w:r w:rsidRPr="00BE3877">
        <w:t xml:space="preserve"> olds in Wales: a cross-sectional analysis of the School Health and Research Network. Journal of Public Health 2019; doi:10.1093/</w:t>
      </w:r>
      <w:proofErr w:type="spellStart"/>
      <w:r w:rsidRPr="00BE3877">
        <w:t>pubmed</w:t>
      </w:r>
      <w:proofErr w:type="spellEnd"/>
      <w:r w:rsidRPr="00BE3877">
        <w:t>/fdz084</w:t>
      </w:r>
    </w:p>
    <w:p w14:paraId="10C8A770" w14:textId="0ED0B62D" w:rsidR="00BE3877" w:rsidRPr="00BE3877" w:rsidRDefault="00BE3877" w:rsidP="00BE3877"/>
    <w:sectPr w:rsidR="00BE3877" w:rsidRPr="00BE3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289F"/>
    <w:multiLevelType w:val="hybridMultilevel"/>
    <w:tmpl w:val="1FB24D38"/>
    <w:lvl w:ilvl="0" w:tplc="BF444E3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547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0C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6F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68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05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60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27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21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D11B2"/>
    <w:multiLevelType w:val="hybridMultilevel"/>
    <w:tmpl w:val="F912E34A"/>
    <w:lvl w:ilvl="0" w:tplc="26D8B226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5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E46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22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20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69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65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A3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AE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13D61"/>
    <w:multiLevelType w:val="hybridMultilevel"/>
    <w:tmpl w:val="E4AAD362"/>
    <w:lvl w:ilvl="0" w:tplc="E98C355C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08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D29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E0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87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49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E6A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24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30E68"/>
    <w:multiLevelType w:val="hybridMultilevel"/>
    <w:tmpl w:val="A57AD836"/>
    <w:lvl w:ilvl="0" w:tplc="45F8B0A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2C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3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44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08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0E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2D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1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4E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E6841"/>
    <w:multiLevelType w:val="hybridMultilevel"/>
    <w:tmpl w:val="8BD0432C"/>
    <w:lvl w:ilvl="0" w:tplc="858CF47C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28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F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46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4C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EF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7417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6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E15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3958"/>
    <w:multiLevelType w:val="hybridMultilevel"/>
    <w:tmpl w:val="234EBC42"/>
    <w:lvl w:ilvl="0" w:tplc="A1A8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43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ED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8E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0C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86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A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CC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E2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77"/>
    <w:rsid w:val="00BE3877"/>
    <w:rsid w:val="00D8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4E43"/>
  <w15:chartTrackingRefBased/>
  <w15:docId w15:val="{EC870327-7CCA-4268-A4C8-4828AE9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3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4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7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3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2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0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1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1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3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3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0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1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4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4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2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9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2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3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6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91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96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7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welsh-baccalaureate" TargetMode="External"/><Relationship Id="rId18" Type="http://schemas.openxmlformats.org/officeDocument/2006/relationships/hyperlink" Target="https://gov.wales/eatwell-guide" TargetMode="External"/><Relationship Id="rId26" Type="http://schemas.openxmlformats.org/officeDocument/2006/relationships/hyperlink" Target="https://downloads.unicef.org.uk/wp-content/uploads/2016/04/RC13-ENG-FINAL.pdf?_ga=2.152490237.511457109.1576835613-2070135952.1576835613" TargetMode="External"/><Relationship Id="rId39" Type="http://schemas.openxmlformats.org/officeDocument/2006/relationships/hyperlink" Target="http://www.wales.nhs.uk/sitesplus/888/page/66628" TargetMode="External"/><Relationship Id="rId21" Type="http://schemas.openxmlformats.org/officeDocument/2006/relationships/hyperlink" Target="https://assets.publishing.service.gov.uk/government/uploads/system/uploads/attachment_data/file/832868/uk-chief-medical-officers-physical-activity-guidelines.pdf" TargetMode="External"/><Relationship Id="rId34" Type="http://schemas.openxmlformats.org/officeDocument/2006/relationships/hyperlink" Target="https://www.nhs.uk/live-well/quit-smoking/passive-smoking-protect-your-family-and-friends/" TargetMode="External"/><Relationship Id="rId42" Type="http://schemas.openxmlformats.org/officeDocument/2006/relationships/hyperlink" Target="https://www.nhs.uk/common-health-questions/childrens-health/should-my-child-drink-alcohol/" TargetMode="External"/><Relationship Id="rId47" Type="http://schemas.openxmlformats.org/officeDocument/2006/relationships/hyperlink" Target="http://www.emcdda.europa.eu/countries/drug-reports/2019/united-kingdom/drug-use_en" TargetMode="External"/><Relationship Id="rId50" Type="http://schemas.openxmlformats.org/officeDocument/2006/relationships/hyperlink" Target="https://www.talktofrank.com/drug/nitrous-oxide" TargetMode="External"/><Relationship Id="rId55" Type="http://schemas.openxmlformats.org/officeDocument/2006/relationships/hyperlink" Target="https://gov.wales/sites/default/files/publications/2018-03/the-future-of-the-sex-and-relationships-education-curriculum-in-wales.pdf" TargetMode="External"/><Relationship Id="rId7" Type="http://schemas.openxmlformats.org/officeDocument/2006/relationships/hyperlink" Target="https://gov.wales/curriculum-wales-2022" TargetMode="External"/><Relationship Id="rId12" Type="http://schemas.openxmlformats.org/officeDocument/2006/relationships/hyperlink" Target="http://www.unicef.org/crc/" TargetMode="External"/><Relationship Id="rId17" Type="http://schemas.openxmlformats.org/officeDocument/2006/relationships/hyperlink" Target="https://gov.wales/healthy-eating-maintained-schools-guidance-education-providers" TargetMode="External"/><Relationship Id="rId25" Type="http://schemas.openxmlformats.org/officeDocument/2006/relationships/hyperlink" Target="http://www.rcpsych.ac.uk/pdf/PS04_2010.pdf" TargetMode="External"/><Relationship Id="rId33" Type="http://schemas.openxmlformats.org/officeDocument/2006/relationships/hyperlink" Target="https://ash.wales/campaign/young-people/" TargetMode="External"/><Relationship Id="rId38" Type="http://schemas.openxmlformats.org/officeDocument/2006/relationships/hyperlink" Target="http://www.shrn.org.uk/wp-content/uploads/2019/08/Hallingberg-Renormalisation-v2.pdf" TargetMode="External"/><Relationship Id="rId46" Type="http://schemas.openxmlformats.org/officeDocument/2006/relationships/hyperlink" Target="https://www.talktofrank.com/drug/cannabi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wsi/2013/1984/made" TargetMode="External"/><Relationship Id="rId20" Type="http://schemas.openxmlformats.org/officeDocument/2006/relationships/hyperlink" Target="https://www.estyn.gov.wales/document/supplementary-guidance-healthy-living-0" TargetMode="External"/><Relationship Id="rId29" Type="http://schemas.openxmlformats.org/officeDocument/2006/relationships/hyperlink" Target="https://www.nspcc.org.uk/globalassets/documents/research-reports/sexting-exploration-practices-attitudes-influences-report-2012.pdf" TargetMode="External"/><Relationship Id="rId41" Type="http://schemas.openxmlformats.org/officeDocument/2006/relationships/hyperlink" Target="http://www.euro.who.int/__data/assets/pdf_file/0007/382840/WH15-alcohol-report-eng.pdf" TargetMode="External"/><Relationship Id="rId54" Type="http://schemas.openxmlformats.org/officeDocument/2006/relationships/hyperlink" Target="https://www.ippfen.org/sites/ippfen/files/2018-05/Comprehensive%20Country%20Report%20on%20CSE%20in%20Europe%20and%20Central%20Asia_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rn.org.uk/wp-content/uploads/2016/09/Moore_Schl-comp-and-cult_English.pdf" TargetMode="External"/><Relationship Id="rId11" Type="http://schemas.openxmlformats.org/officeDocument/2006/relationships/hyperlink" Target="http://www.wales.nhs.uk/sitesplus/888/page/82249" TargetMode="External"/><Relationship Id="rId24" Type="http://schemas.openxmlformats.org/officeDocument/2006/relationships/hyperlink" Target="https://gov.wales/sites/default/files/publications/2019-10/healthy-weight-healthy-wales_0.pdf" TargetMode="External"/><Relationship Id="rId32" Type="http://schemas.openxmlformats.org/officeDocument/2006/relationships/hyperlink" Target="https://www.ons.gov.uk/peoplepopulationandcommunity/personalandhouseholdfinances/incomeandwealth/compendium/generallifestylesurvey/2013-03-07/chapter1smokinggenerallifestylesurveyoverviewareportonthe2011generallifestylesurvey" TargetMode="External"/><Relationship Id="rId37" Type="http://schemas.openxmlformats.org/officeDocument/2006/relationships/hyperlink" Target="https://ash.wales/wp-content/uploads/2018/05/ashwales-ecig-report2016-final.pdf" TargetMode="External"/><Relationship Id="rId40" Type="http://schemas.openxmlformats.org/officeDocument/2006/relationships/hyperlink" Target="https://publichealthwales.shinyapps.io/AlcoholinWales/" TargetMode="External"/><Relationship Id="rId45" Type="http://schemas.openxmlformats.org/officeDocument/2006/relationships/hyperlink" Target="https://www.nice.org.uk/guidance/ng135" TargetMode="External"/><Relationship Id="rId53" Type="http://schemas.openxmlformats.org/officeDocument/2006/relationships/hyperlink" Target="https://eur03.safelinks.protection.outlook.com/?url=http://www.shrn.org.uk/wp-content/uploads/2016/09/Young_SRE_English.pdf&amp;data=01|01|CouturiauxD@cardiff.ac.uk|62b6a0e10d7f4e065f2a08d785478733|bdb74b3095684856bdbf06759778fcbc|1&amp;sdata=bvnv6ZbDDJJ5jtWxWLgorJRhHVdyxAapwxNQXVy6mMA%3D&amp;reserved=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shrn.org.uk/wp-content/uploads/2016/09/Moore_Schl-commitment_final.pdf" TargetMode="External"/><Relationship Id="rId15" Type="http://schemas.openxmlformats.org/officeDocument/2006/relationships/hyperlink" Target="http://www.shrn.org.uk/national-data/" TargetMode="External"/><Relationship Id="rId23" Type="http://schemas.openxmlformats.org/officeDocument/2006/relationships/hyperlink" Target="https://www.nice.org.uk/guidance/ph17" TargetMode="External"/><Relationship Id="rId28" Type="http://schemas.openxmlformats.org/officeDocument/2006/relationships/hyperlink" Target="https://www.nspcc.org.uk/globalassets/documents/research-reports/qualitative-study-children-young-people-sexting-report.pdf" TargetMode="External"/><Relationship Id="rId36" Type="http://schemas.openxmlformats.org/officeDocument/2006/relationships/hyperlink" Target="http://www.shrn.org.uk/wp-content/uploads/2017/03/de-Lacy_Electronic-cigarette-use_final.pdf" TargetMode="External"/><Relationship Id="rId49" Type="http://schemas.openxmlformats.org/officeDocument/2006/relationships/hyperlink" Target="https://digital.nhs.uk/data-and-information/publications/statistical/smoking-drinking-and-drug-use-among-young-people-in-england/2018/part-8-drug-use-prevalence-and-consumption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estyn.gov.wales/thematic-reports/healthy-and-happy" TargetMode="External"/><Relationship Id="rId19" Type="http://schemas.openxmlformats.org/officeDocument/2006/relationships/hyperlink" Target="http://www.legislation.gov.uk/mwa/2009/3/contents" TargetMode="External"/><Relationship Id="rId31" Type="http://schemas.openxmlformats.org/officeDocument/2006/relationships/hyperlink" Target="http://www.hbsc.org/publications/datavisualisations/body_image.html" TargetMode="External"/><Relationship Id="rId44" Type="http://schemas.openxmlformats.org/officeDocument/2006/relationships/hyperlink" Target="https://apps.who.int/iris/bitstream/handle/10665/274603/9789241565639-eng.pdf?ua=1" TargetMode="External"/><Relationship Id="rId52" Type="http://schemas.openxmlformats.org/officeDocument/2006/relationships/hyperlink" Target="https://www.sexeducationforum.org.uk/sites/default/files/field/attachment/Young%20people's%20RSE%20poll%202019%20-%20S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tyn.gov.wales/inspection/school-self-evaluation-improvement-project/inspecting-self-evaluation-new-approach" TargetMode="External"/><Relationship Id="rId14" Type="http://schemas.openxmlformats.org/officeDocument/2006/relationships/hyperlink" Target="https://futuregenerations.wales/about-us/future-generations-act/" TargetMode="External"/><Relationship Id="rId22" Type="http://schemas.openxmlformats.org/officeDocument/2006/relationships/hyperlink" Target="https://assets.publishing.service.gov.uk/government/uploads/system/uploads/attachment_data/file/821463/What_works_in_schools_and_colleges_to_increase_physical_activity.pdf" TargetMode="External"/><Relationship Id="rId27" Type="http://schemas.openxmlformats.org/officeDocument/2006/relationships/hyperlink" Target="https://www.estyn.gov.wales/thematic-reports/action-bullying-june-2014" TargetMode="External"/><Relationship Id="rId30" Type="http://schemas.openxmlformats.org/officeDocument/2006/relationships/hyperlink" Target="https://www.cardiff.ac.uk/__data/assets/pdf_file/0007/522394/A-Whole-Education-Approach-to-Violence-Against-Women,-Domestic-Abuse-and-Sexual-Violence-in-Wales.pdf" TargetMode="External"/><Relationship Id="rId35" Type="http://schemas.openxmlformats.org/officeDocument/2006/relationships/hyperlink" Target="https://www.nhs.uk/live-well/quit-smoking/quitting-smoking-under-18s-guide/?tabname=smoking-facts" TargetMode="External"/><Relationship Id="rId43" Type="http://schemas.openxmlformats.org/officeDocument/2006/relationships/hyperlink" Target="https://www.gov.uk/government/uploads/system/uploads/attachment_data/file/545937/UK_CMOs__report.pdf" TargetMode="External"/><Relationship Id="rId48" Type="http://schemas.openxmlformats.org/officeDocument/2006/relationships/hyperlink" Target="https://www.talktofrank.com/drug/new-psychoactive-substances" TargetMode="External"/><Relationship Id="rId56" Type="http://schemas.openxmlformats.org/officeDocument/2006/relationships/hyperlink" Target="https://assets.publishing.service.gov.uk/government/uploads/system/uploads/attachment_data/file/142592/9287-2900714-TSO-SexualHealthPolicyNW_ACCESSIBLE.pdf" TargetMode="External"/><Relationship Id="rId8" Type="http://schemas.openxmlformats.org/officeDocument/2006/relationships/hyperlink" Target="https://hwb.gov.wales/professional-development/schools-as-learning-organisations/" TargetMode="External"/><Relationship Id="rId51" Type="http://schemas.openxmlformats.org/officeDocument/2006/relationships/hyperlink" Target="http://www.wales.nhs.uk/sitesplus/documents/888/HIV%20and%20STI%20trends%20in%20Wales%20Report%202018_2017%20-Surveillance%20report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4522</Words>
  <Characters>25777</Characters>
  <Application>Microsoft Office Word</Application>
  <DocSecurity>0</DocSecurity>
  <Lines>214</Lines>
  <Paragraphs>60</Paragraphs>
  <ScaleCrop>false</ScaleCrop>
  <Company/>
  <LinksUpToDate>false</LinksUpToDate>
  <CharactersWithSpaces>30239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1</cp:revision>
  <dcterms:created xsi:type="dcterms:W3CDTF">2020-12-08T14:45:00Z</dcterms:created>
  <dcterms:modified xsi:type="dcterms:W3CDTF">2020-12-08T14:55:00Z</dcterms:modified>
</cp:coreProperties>
</file>